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Indexheading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Информационно-статистический материал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 xml:space="preserve">по обращениям, рассмотренным в Главном управлении Росгвардии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 xml:space="preserve">по Московской области за 1 квартал 2024 г.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tbl>
      <w:tblPr>
        <w:tblStyle w:val="a8"/>
        <w:tblW w:w="9571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709"/>
        <w:gridCol w:w="6401"/>
        <w:gridCol w:w="1258"/>
        <w:gridCol w:w="1202"/>
      </w:tblGrid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2024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1.</w:t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Общее количество обращений, поступивших напрямую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21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1.1.</w:t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По видам обращений: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заявлений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18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жалоб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3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предложений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запросов информации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сообщений, не являющихся обращениями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1.2.</w:t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Наименование вопроса: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Оборот гражданского, служебного и иного оружия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4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Частная детективная и охранная деятельность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8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Выдача лицензий и разрешений на владение, хранение, ношение и использование гражданского и служебного оружия и его основными частями, торговлю гражданским оружием и его основными частями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Обеспечение вещевым имуществом сотрудников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Поступление на военную службу по контракту, заключение контракта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Предоставление жилья в собственность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Style19"/>
              <w:widowControl w:val="false"/>
              <w:suppressAutoHyphens w:val="true"/>
              <w:spacing w:before="0" w:after="20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lang w:val="ru-RU" w:eastAsia="en-US" w:bidi="ar-SA"/>
              </w:rPr>
              <w:t>Исполнение должностных полномочий и служебных обязанностей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Style19"/>
              <w:widowControl w:val="false"/>
              <w:suppressAutoHyphens w:val="true"/>
              <w:spacing w:before="0" w:after="20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lang w:val="ru-RU" w:eastAsia="en-US" w:bidi="ar-SA"/>
              </w:rPr>
              <w:t>Обязательное страхование. Страховые выплаты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Style19"/>
              <w:widowControl w:val="false"/>
              <w:suppressAutoHyphens w:val="true"/>
              <w:spacing w:before="0" w:after="200"/>
              <w:jc w:val="both"/>
              <w:rPr>
                <w:rFonts w:ascii="Times New Roman" w:hAnsi="Times New Roman" w:eastAsia="Calibri" w:cs=""/>
                <w:color w:val="000000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lang w:val="ru-RU" w:eastAsia="en-US" w:bidi="ar-SA"/>
              </w:rPr>
              <w:t>Предоставление субсидий, ЕСВ на приобретение и строительства жилья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Style19"/>
              <w:widowControl w:val="false"/>
              <w:suppressAutoHyphens w:val="true"/>
              <w:spacing w:before="0" w:after="200"/>
              <w:jc w:val="both"/>
              <w:rPr>
                <w:rFonts w:ascii="Times New Roman" w:hAnsi="Times New Roman" w:eastAsia="Calibri" w:cs=""/>
                <w:color w:val="000000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lang w:val="ru-RU" w:eastAsia="en-US" w:bidi="ar-SA"/>
              </w:rPr>
              <w:t>Компенсация за наем жилья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Style19"/>
              <w:widowControl w:val="false"/>
              <w:suppressAutoHyphens w:val="true"/>
              <w:spacing w:before="0" w:after="20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lang w:val="ru-RU" w:eastAsia="en-US" w:bidi="ar-SA"/>
              </w:rPr>
              <w:t>Обеспечение антитеррористической защищенности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Style19"/>
              <w:widowControl w:val="false"/>
              <w:suppressAutoHyphens w:val="true"/>
              <w:spacing w:before="0" w:after="20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lang w:val="ru-RU" w:eastAsia="en-US" w:bidi="ar-SA"/>
              </w:rPr>
              <w:t>Иные вопросы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Style19"/>
              <w:widowControl w:val="false"/>
              <w:suppressAutoHyphens w:val="true"/>
              <w:spacing w:before="0" w:after="200"/>
              <w:jc w:val="both"/>
              <w:rPr>
                <w:rFonts w:ascii="Times New Roman" w:hAnsi="Times New Roman" w:eastAsia="Calibri" w:cs=""/>
                <w:color w:val="000000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lang w:val="ru-RU" w:eastAsia="en-US" w:bidi="ar-SA"/>
              </w:rPr>
              <w:t>Архивные справки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Style19"/>
              <w:widowControl w:val="false"/>
              <w:suppressAutoHyphens w:val="true"/>
              <w:spacing w:before="0" w:after="20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lang w:val="ru-RU" w:eastAsia="en-US" w:bidi="ar-SA"/>
              </w:rPr>
              <w:t>Факты противоправных действий сотрудников коррупционной направленности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2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1.3.</w:t>
            </w:r>
          </w:p>
        </w:tc>
        <w:tc>
          <w:tcPr>
            <w:tcW w:w="8861" w:type="dxa"/>
            <w:gridSpan w:val="3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Вопросы, вызвавшие наибольший интерес у заявителей (основные проблемы)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Выдача лицензий и разрешений на владение, хранение, ношение и использование гражданского и служебного оружия и его основными частями, торговлю гражданским оружием и его основными частями.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Частная детективная и охранная деятельность.</w:t>
            </w:r>
          </w:p>
          <w:tbl>
            <w:tblPr>
              <w:tblStyle w:val="a8"/>
              <w:tblW w:w="9571" w:type="dxa"/>
              <w:jc w:val="left"/>
              <w:tblInd w:w="0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  <w:tblLook w:val="04a0" w:noHBand="0" w:noVBand="1" w:firstColumn="1" w:lastRow="0" w:lastColumn="0" w:firstRow="1"/>
            </w:tblPr>
            <w:tblGrid>
              <w:gridCol w:w="9571"/>
            </w:tblGrid>
            <w:tr>
              <w:trPr/>
              <w:tc>
                <w:tcPr>
                  <w:tcW w:w="9571" w:type="dxa"/>
                  <w:tcBorders/>
                </w:tcPr>
                <w:p>
                  <w:pPr>
                    <w:pStyle w:val="Normal"/>
                    <w:widowControl w:val="false"/>
                    <w:suppressAutoHyphens w:val="true"/>
                    <w:spacing w:lineRule="auto" w:line="240" w:before="0" w:after="0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  <w:shd w:fill="auto" w:val="clear"/>
                    </w:rPr>
                  </w:pPr>
                  <w:r>
                    <w:rPr>
                      <w:rFonts w:cs="Times New Roman" w:ascii="Times New Roman" w:hAnsi="Times New Roman"/>
                      <w:sz w:val="28"/>
                      <w:szCs w:val="28"/>
                      <w:shd w:fill="auto" w:val="clear"/>
                    </w:rPr>
                  </w:r>
                </w:p>
              </w:tc>
            </w:tr>
          </w:tbl>
          <w:p>
            <w:pPr>
              <w:pStyle w:val="Normal"/>
              <w:widowControl w:val="false"/>
              <w:spacing w:before="0" w:after="200"/>
              <w:rPr>
                <w:rFonts w:ascii="Calibri" w:hAnsi="Calibri" w:eastAsia="Calibri" w:cs="" w:asciiTheme="minorHAnsi" w:cstheme="minorBidi" w:eastAsiaTheme="minorHAnsi" w:hAnsiTheme="minorHAnsi"/>
                <w:shd w:fill="auto" w:val="clear"/>
              </w:rPr>
            </w:pPr>
            <w:r>
              <w:rPr>
                <w:rFonts w:eastAsia="Calibri" w:cs="" w:cstheme="minorBidi" w:eastAsiaTheme="minorHAnsi"/>
                <w:shd w:fill="auto" w:val="clear"/>
              </w:rPr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1.4.</w:t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Результаты рассмотрения: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«разъяснено»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5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«не поддержано»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9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«поддержано»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3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2.</w:t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Общее количество обращений, поступивших из центрального аппарата Росгвардии, для рассмотрения и ответа заявителю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350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2.1.</w:t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По видам обращений: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заявлений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337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жалоб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7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предложений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запросов информации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4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сообщений, не являющихся обращениями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2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2.2.</w:t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Наименование вопроса: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Оборот гражданского, служебного и иного оружия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32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Выдача лицензий и разрешений на владение, хранение, ношение и использование гражданского и служебного оружия и его основными частями, торговлю гражданским оружием и его основными частями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5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Частная детективная и охранная деятельность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47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Выдача справок о наличии (отсутствия) жилья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Материально-бытовое обеспечение военнослужащих по контракту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Конфликты на бытовой почве, касающиеся военнослужащих, сотрудников, служащих Росгвардии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2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Архивные справки о трудовом стаже и заработной плате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Предоставление информации о наличии (снятии) зарегистрированного оружия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214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Охрана объектов и имущества собственников по договорам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3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Обязательное страхование. Страховые случаи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Охрана общественного порядка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3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Исполнение должностных полномочий и служебных обязанностей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2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Дополнительные денежные выплаты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5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8"/>
                <w:szCs w:val="28"/>
                <w:u w:val="none"/>
                <w:shd w:fill="auto" w:val="clear"/>
                <w:em w:val="none"/>
              </w:rPr>
              <w:t>Обеспечение антитеррористической защищенности объектов различной ведомственной принадлежности и сфер деятельности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3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8"/>
                <w:szCs w:val="28"/>
                <w:u w:val="none"/>
                <w:shd w:fill="auto" w:val="clear"/>
                <w:em w:val="none"/>
              </w:rPr>
              <w:t>Получение сведений и документов их архивов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2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8"/>
                <w:szCs w:val="28"/>
                <w:u w:val="none"/>
                <w:shd w:fill="auto" w:val="clear"/>
                <w:em w:val="none"/>
              </w:rPr>
              <w:t>Факты противоправного поведения сотрудников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 w:val="false"/>
                <w:b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shd w:fill="auto" w:val="clear"/>
                <w:em w:val="none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shd w:fill="auto" w:val="clear"/>
                <w:em w:val="none"/>
                <w:lang w:val="ru-RU" w:eastAsia="en-US" w:bidi="ar-SA"/>
              </w:rPr>
              <w:t>Установление местонахождения военнослужащего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Исполнение судебных решений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Алиментные обязательства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Назначение и пересмотр пенсии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2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Патриотическое воспитание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 w:val="false"/>
                <w:b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shd w:fill="auto" w:val="clear"/>
                <w:em w:val="none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shd w:fill="auto" w:val="clear"/>
                <w:em w:val="none"/>
                <w:lang w:val="ru-RU" w:eastAsia="en-US" w:bidi="ar-SA"/>
              </w:rPr>
              <w:t>Ходатайства о награждении государственными и ведомственными наградами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Переводы по службе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Style19"/>
              <w:widowControl w:val="false"/>
              <w:suppressAutoHyphens w:val="true"/>
              <w:spacing w:before="0" w:after="20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lang w:val="ru-RU" w:eastAsia="en-US" w:bidi="ar-SA"/>
              </w:rPr>
              <w:t>Благодарность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Style19"/>
              <w:widowControl w:val="false"/>
              <w:suppressAutoHyphens w:val="true"/>
              <w:spacing w:before="0" w:after="20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lang w:val="ru-RU" w:eastAsia="en-US" w:bidi="ar-SA"/>
              </w:rPr>
              <w:t>Возврат ошибочной пошлины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2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Style19"/>
              <w:widowControl w:val="false"/>
              <w:suppressAutoHyphens w:val="true"/>
              <w:spacing w:before="0" w:after="200"/>
              <w:jc w:val="both"/>
              <w:rPr>
                <w:rFonts w:ascii="Times New Roman" w:hAnsi="Times New Roman" w:eastAsia="Calibri" w:cs=""/>
                <w:color w:val="000000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lang w:val="ru-RU" w:eastAsia="en-US" w:bidi="ar-SA"/>
              </w:rPr>
              <w:t>Воинская дисциплина, ответственность военнослужащих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Style19"/>
              <w:widowControl w:val="false"/>
              <w:suppressAutoHyphens w:val="true"/>
              <w:spacing w:before="0" w:after="20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lang w:val="ru-RU" w:eastAsia="en-US" w:bidi="ar-SA"/>
              </w:rPr>
              <w:t>Алиментные обязательства членов семьи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Style19"/>
              <w:widowControl w:val="false"/>
              <w:suppressAutoHyphens w:val="true"/>
              <w:spacing w:before="0" w:after="200"/>
              <w:jc w:val="both"/>
              <w:rPr>
                <w:sz w:val="28"/>
                <w:szCs w:val="28"/>
              </w:rPr>
            </w:pPr>
            <w:r>
              <w:rPr>
                <w:rFonts w:eastAsia="Calibri" w:cs="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em w:val="none"/>
                <w:lang w:val="ru-RU" w:eastAsia="en-US" w:bidi="ar-SA"/>
              </w:rPr>
              <w:t>Истребование дополнительных документов и материалов, в т.ч в электронном форме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Style19"/>
              <w:widowControl w:val="false"/>
              <w:suppressAutoHyphens w:val="true"/>
              <w:spacing w:before="0" w:after="20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lang w:val="ru-RU" w:eastAsia="en-US" w:bidi="ar-SA"/>
              </w:rPr>
              <w:t>Деятельность Росгвардии, принимаемые решения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12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Style19"/>
              <w:widowControl w:val="false"/>
              <w:suppressAutoHyphens w:val="true"/>
              <w:spacing w:before="0" w:after="20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lang w:val="ru-RU" w:eastAsia="en-US" w:bidi="ar-SA"/>
              </w:rPr>
              <w:t>Выдача справок о наличии (отсутствии) жилья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Calibri" w:cs="" w:cstheme="minorBidi" w:eastAsiaTheme="minorHAnsi"/>
                <w:color w:val="000000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" w:ascii="Times New Roman" w:hAnsi="Times New Roman" w:cstheme="minorBidi" w:eastAsiaTheme="minorHAnsi"/>
                <w:color w:val="000000"/>
                <w:kern w:val="0"/>
                <w:sz w:val="28"/>
                <w:szCs w:val="28"/>
                <w:lang w:val="ru-RU" w:eastAsia="en-US" w:bidi="ar-SA"/>
              </w:rPr>
              <w:t>Оплата листка нетрудоспособности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auto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Поступление на военную службу по контракту, заключение контракта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auto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Предоставление жилья в собственность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auto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Служебное время и отпуска военнослужащих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auto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Денежное довольствие сотрудников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auto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Результаты рассмотрения обращений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auto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2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  <w:t>Иные вопросы, касающиеся деятельности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 xml:space="preserve"> Росгвардии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auto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auto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2.3.</w:t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Результаты рассмотрения: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«разъяснено»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auto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  <w:t>169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«не поддержано»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auto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  <w:t>68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«поддержано»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auto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  <w:t>16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3.</w:t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317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Общее количество обращений, поступивших из центрального аппарата Росгвардии, для представления справок (информации) по обращению/сведения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317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4.</w:t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Общее количество обращений, поступивших из Управления округа, для рассмотрения и ответа заявителю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auto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  <w:t>19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4.1.</w:t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По видам обращений: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заявлений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auto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  <w:t>14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жалоб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auto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предложений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3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запросов информации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сообщений, не являющихся обращениями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auto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auto"/>
                <w:kern w:val="0"/>
                <w:sz w:val="28"/>
                <w:szCs w:val="28"/>
                <w:lang w:val="ru-RU" w:eastAsia="en-US" w:bidi="ar-SA"/>
              </w:rPr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4.2.</w:t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Наименование вопроса: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Частная детективная и охранная деятельность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6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Оборот гражданского, служебного и иного оружия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2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Факты противоправного поведения сотрудников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Охрана объектов и имущества собственников по договорам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Архивные справки о трудовом стаже и заработной плате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Выдача лицензий и разрешений на владение, хранение, ношение и использование гражданского и служебного оружия и его основными частями, торговлю гражданским оружием и его основными частями.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shd w:fill="auto" w:val="clear"/>
                <w:em w:val="none"/>
                <w:lang w:val="ru-RU" w:eastAsia="en-US" w:bidi="ar-SA"/>
              </w:rPr>
              <w:t>Д</w:t>
            </w: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8"/>
                <w:szCs w:val="28"/>
                <w:u w:val="none"/>
                <w:shd w:fill="auto" w:val="clear"/>
                <w:em w:val="none"/>
              </w:rPr>
              <w:t>еятельность Федеральной службы ВНГ РФ. Принимаемые решения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3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Качество государственных услуг, предоставляемых подразделениями Росгвардии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Исполнение должностных полномочий и служебных обязанностей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 w:val="false"/>
                <w:b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shd w:fill="auto" w:val="clear"/>
                <w:em w:val="none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shd w:fill="auto" w:val="clear"/>
                <w:em w:val="none"/>
                <w:lang w:val="ru-RU" w:eastAsia="en-US" w:bidi="ar-SA"/>
              </w:rPr>
              <w:t>Конфликты на бытовой почве, касающиеся военнослужащих, сотрудников, служащих Росгвардии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 w:val="false"/>
                <w:b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shd w:fill="auto" w:val="clear"/>
                <w:em w:val="none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shd w:fill="auto" w:val="clear"/>
                <w:em w:val="none"/>
                <w:lang w:val="ru-RU" w:eastAsia="en-US" w:bidi="ar-SA"/>
              </w:rPr>
              <w:t>Предоставление субсидии, ЕСВ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8"/>
                <w:szCs w:val="28"/>
                <w:u w:val="none"/>
                <w:shd w:fill="auto" w:val="clear"/>
                <w:em w:val="none"/>
              </w:rPr>
              <w:t>Назначение и пересмотр размеров пенсии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 w:val="false"/>
                <w:b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shd w:fill="auto" w:val="clear"/>
                <w:em w:val="none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shd w:fill="auto" w:val="clear"/>
                <w:em w:val="none"/>
                <w:lang w:val="ru-RU" w:eastAsia="en-US" w:bidi="ar-SA"/>
              </w:rPr>
              <w:t>Неполучение ответа на обращение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2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shd w:fill="auto" w:val="clear"/>
                <w:em w:val="none"/>
                <w:lang w:val="ru-RU" w:eastAsia="en-US" w:bidi="ar-SA"/>
              </w:rPr>
              <w:t>Предложение о внесении изменений в законодательство в сфере оборота гражданского оружия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2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Благодарность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Факты противоправного поведения сотрудников.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4.3.</w:t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Результаты рассмотрения: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«разъяснено»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7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«не поддержано»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9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«поддержано»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auto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317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5.</w:t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317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Общее количество обращений, поступивших из Управления округа, для представления справок (информации) по обращению/сведения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</w:tbl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Начальник Отдела делопроизводства и режима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полковник полиции                                                                            А.Н. Белашов</w:t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Times New Roman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48"/>
  <w:defaultTabStop w:val="4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 w:customStyle="1">
    <w:name w:val="Заголовок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15">
    <w:name w:val="Body Text"/>
    <w:basedOn w:val="Normal"/>
    <w:pPr>
      <w:spacing w:before="0" w:after="140"/>
    </w:pPr>
    <w:rPr/>
  </w:style>
  <w:style w:type="paragraph" w:styleId="Style16">
    <w:name w:val="List"/>
    <w:basedOn w:val="Style15"/>
    <w:pPr/>
    <w:rPr>
      <w:rFonts w:cs="Noto Sans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Style19">
    <w:name w:val="Содержимое таблицы"/>
    <w:basedOn w:val="Normal"/>
    <w:qFormat/>
    <w:pPr>
      <w:widowControl w:val="false"/>
      <w:suppressLineNumbers/>
    </w:pPr>
    <w:rPr/>
  </w:style>
  <w:style w:type="paragraph" w:styleId="Style20">
    <w:name w:val="Заголовок таблицы"/>
    <w:basedOn w:val="Style19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8">
    <w:name w:val="Table Grid"/>
    <w:basedOn w:val="a1"/>
    <w:uiPriority w:val="59"/>
    <w:rsid w:val="00227ccb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430</TotalTime>
  <Application>LibreOffice/7.0.4.2$Linux_X86_64 LibreOffice_project/dcf040e67528d9187c66b2379df5ea4407429775</Application>
  <AppVersion>15.0000</AppVersion>
  <Pages>5</Pages>
  <Words>857</Words>
  <Characters>5277</Characters>
  <CharactersWithSpaces>5856</CharactersWithSpaces>
  <Paragraphs>355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2022-09-05T09:39:00Z</dcterms:created>
  <dc:creator>Холомьев Константин Николаевич</dc:creator>
  <dc:description/>
  <dc:language>ru-RU</dc:language>
  <cp:lastModifiedBy/>
  <cp:lastPrinted>2024-03-28T14:18:01Z</cp:lastPrinted>
  <dcterms:modified xsi:type="dcterms:W3CDTF">2024-11-09T12:06:50Z</dcterms:modified>
  <cp:revision>27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