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png" ContentType="image/png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10208" w:type="dxa"/>
        <w:jc w:val="left"/>
        <w:tblInd w:w="80" w:type="dxa"/>
        <w:tblCellMar>
          <w:top w:w="60" w:type="dxa"/>
          <w:left w:w="80" w:type="dxa"/>
          <w:bottom w:w="60" w:type="dxa"/>
          <w:right w:w="80" w:type="dxa"/>
        </w:tblCellMar>
      </w:tblPr>
      <w:tblGrid>
        <w:gridCol w:w="10208"/>
      </w:tblGrid>
      <w:tr>
        <w:trPr>
          <w:trHeight w:val="2791" w:hRule="exact"/>
        </w:trPr>
        <w:tc>
          <w:tcPr>
            <w:tcW w:w="10208" w:type="dxa"/>
            <w:tcBorders/>
          </w:tcPr>
          <w:p>
            <w:pPr>
              <w:pStyle w:val="ConsPlusTitlePage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drawing>
                <wp:inline distT="0" distB="0" distL="0" distR="0">
                  <wp:extent cx="3810000" cy="904875"/>
                  <wp:effectExtent l="0" t="0" r="0" b="0"/>
                  <wp:docPr id="1" name="Изображение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Изображение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7676" w:hRule="exact"/>
        </w:trPr>
        <w:tc>
          <w:tcPr>
            <w:tcW w:w="10208" w:type="dxa"/>
            <w:tcBorders/>
            <w:vAlign w:val="center"/>
          </w:tcPr>
          <w:p>
            <w:pPr>
              <w:pStyle w:val="ConsPlusTitlePag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sz w:val="48"/>
              </w:rPr>
              <w:t>Постановление Правительства РФ от 13.11.2010 N 902</w:t>
            </w:r>
            <w:r>
              <w:rPr/>
              <w:br/>
            </w:r>
            <w:r>
              <w:rPr>
                <w:sz w:val="48"/>
              </w:rPr>
              <w:t>(ред. от 23.09.2024)</w:t>
            </w:r>
            <w:r>
              <w:rPr/>
              <w:br/>
            </w:r>
            <w:r>
              <w:rPr>
                <w:sz w:val="48"/>
              </w:rPr>
              <w:t>"Об утверждении Правил приобретения, хранения, учета, ремонта и уничтожения специальных средств, используемых работниками ведомственной охраны Государственной корпорации по содействию разработке, производству и экспорту высокотехнологичной промышленной продукции "Ростех"</w:t>
            </w:r>
          </w:p>
        </w:tc>
      </w:tr>
      <w:tr>
        <w:trPr>
          <w:trHeight w:val="2791" w:hRule="exact"/>
        </w:trPr>
        <w:tc>
          <w:tcPr>
            <w:tcW w:w="10208" w:type="dxa"/>
            <w:tcBorders/>
            <w:vAlign w:val="center"/>
          </w:tcPr>
          <w:p>
            <w:pPr>
              <w:pStyle w:val="ConsPlusTitlePag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</w:tbl>
    <w:tbl>
      <w:tblPr>
        <w:tblW w:w="10207" w:type="dxa"/>
        <w:jc w:val="left"/>
        <w:tblInd w:w="40" w:type="dxa"/>
        <w:tblCellMar>
          <w:top w:w="0" w:type="dxa"/>
          <w:left w:w="40" w:type="dxa"/>
          <w:bottom w:w="0" w:type="dxa"/>
          <w:right w:w="40" w:type="dxa"/>
        </w:tblCellMar>
      </w:tblPr>
      <w:tblGrid>
        <w:gridCol w:w="60"/>
        <w:gridCol w:w="112"/>
        <w:gridCol w:w="9921"/>
        <w:gridCol w:w="113"/>
      </w:tblGrid>
      <w:tr>
        <w:trPr/>
        <w:tc>
          <w:tcPr>
            <w:tcW w:w="60" w:type="dxa"/>
            <w:tcBorders/>
            <w:vAlign w:val="center"/>
          </w:tcPr>
          <w:p>
            <w:pPr>
              <w:pStyle w:val="ConsPlusNormal"/>
              <w:tabs>
                <w:tab w:val="clear" w:pos="720"/>
              </w:tabs>
              <w:jc w:val="left"/>
              <w:rPr>
                <w:rFonts w:ascii="Tahoma" w:hAnsi="Tahoma" w:cs="Tahoma"/>
                <w:b w:val="false"/>
                <w:b w:val="false"/>
                <w:sz w:val="28"/>
              </w:rPr>
            </w:pPr>
            <w:r>
              <w:rPr>
                <w:rFonts w:cs="Tahoma" w:ascii="Tahoma" w:hAnsi="Tahoma"/>
                <w:b w:val="false"/>
                <w:sz w:val="28"/>
              </w:rPr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ПРАВИТЕЛЬСТВО РОССИЙСКОЙ ФЕДЕРАЦИИ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ПОСТАНОВЛЕНИЕ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от 13 ноября 2010 г. N 902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ОБ УТВЕРЖДЕНИИ ПРАВИЛ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ПРИОБРЕТЕНИЯ, ХРАНЕНИЯ, УЧЕТА, РЕМОНТА И УНИЧТОЖЕНИЯ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СПЕЦИАЛЬНЫХ СРЕДСТВ, ИСПОЛЬЗУЕМЫХ РАБОТНИКАМИ ВЕДОМСТВЕННОЙ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ОХРАНЫ ГОСУДАРСТВЕННОЙ КОРПОРАЦИИ ПО СОДЕЙСТВИЮ РАЗРАБОТКЕ,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ПРОИЗВОДСТВУ И ЭКСПОРТУ ВЫСОКОТЕХНОЛОГИЧНОЙ ПРОМЫШЛЕННОЙ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ПРОДУКЦИИ "РОСТЕХ"</w:t>
            </w:r>
          </w:p>
          <w:p>
            <w:pPr>
              <w:pStyle w:val="ConsPlusNormal"/>
              <w:tabs>
                <w:tab w:val="clear" w:pos="720"/>
              </w:tabs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2" w:type="dxa"/>
            <w:tcBorders/>
            <w:vAlign w:val="center"/>
          </w:tcPr>
          <w:p>
            <w:pPr>
              <w:pStyle w:val="ConsPlusNormal"/>
              <w:tabs>
                <w:tab w:val="clear" w:pos="720"/>
              </w:tabs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921" w:type="dxa"/>
            <w:tcBorders/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Список изменяющих документов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(в ред. Постановлений Правительства РФ от 24.11.2015 N 1260,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от 06.05.2023 N 712, от 08.12.2023 N 2080, от 23.09.2024 N 1284)</w:t>
            </w:r>
          </w:p>
        </w:tc>
        <w:tc>
          <w:tcPr>
            <w:tcW w:w="113" w:type="dxa"/>
            <w:tcBorders/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  <w:color w:val="392C69"/>
              </w:rPr>
            </w:pPr>
            <w:r>
              <w:rPr>
                <w:b w:val="false"/>
                <w:color w:val="392C69"/>
              </w:rPr>
            </w:r>
          </w:p>
        </w:tc>
      </w:tr>
    </w:tbl>
    <w:p>
      <w:pPr>
        <w:pStyle w:val="ConsPlusNormal"/>
        <w:ind w:left="0" w:hanging="0"/>
        <w:jc w:val="center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В соответствии с Федеральным законом "О ведомственной охране" Правительство Российской Федерации постановляет: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 xml:space="preserve">Утвердить прилагаемые </w:t>
      </w:r>
      <w:hyperlink w:anchor="Par33" w:tgtFrame="ПРАВИЛА">
        <w:r>
          <w:rPr>
            <w:color w:val="0000FF"/>
          </w:rPr>
          <w:t>Правила</w:t>
        </w:r>
      </w:hyperlink>
      <w:r>
        <w:rPr/>
        <w:t xml:space="preserve"> приобретения, хранения, учета, ремонта и уничтожения специальных средств, используемых работниками ведомственной охраны Государственной корпорации по содействию разработке, производству и экспорту высокотехнологичной промышленной продукции "Ростех".</w:t>
      </w:r>
    </w:p>
    <w:p>
      <w:pPr>
        <w:pStyle w:val="ConsPlusNormal"/>
        <w:ind w:left="0" w:hanging="0"/>
        <w:jc w:val="both"/>
        <w:rPr/>
      </w:pPr>
      <w:r>
        <w:rPr/>
        <w:t>(в ред. Постановления Правительства РФ от 24.11.2015 N 1260)</w:t>
      </w:r>
    </w:p>
    <w:p>
      <w:pPr>
        <w:pStyle w:val="ConsPlusNormal"/>
        <w:ind w:left="0" w:firstLine="54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Председатель Правительства</w:t>
      </w:r>
    </w:p>
    <w:p>
      <w:pPr>
        <w:pStyle w:val="ConsPlusNormal"/>
        <w:ind w:left="0" w:hanging="0"/>
        <w:jc w:val="right"/>
        <w:rPr/>
      </w:pPr>
      <w:r>
        <w:rPr/>
        <w:t>Российской Федерации</w:t>
      </w:r>
    </w:p>
    <w:p>
      <w:pPr>
        <w:pStyle w:val="ConsPlusNormal"/>
        <w:ind w:left="0" w:hanging="0"/>
        <w:jc w:val="right"/>
        <w:rPr/>
      </w:pPr>
      <w:r>
        <w:rPr/>
        <w:t>В.ПУТИН</w:t>
      </w:r>
    </w:p>
    <w:p>
      <w:pPr>
        <w:pStyle w:val="ConsPlusNormal"/>
        <w:ind w:left="0" w:firstLine="54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Утверждены</w:t>
      </w:r>
    </w:p>
    <w:p>
      <w:pPr>
        <w:pStyle w:val="ConsPlusNormal"/>
        <w:ind w:left="0" w:hanging="0"/>
        <w:jc w:val="right"/>
        <w:rPr/>
      </w:pPr>
      <w:r>
        <w:rPr/>
        <w:t>Постановлением Правительства</w:t>
      </w:r>
    </w:p>
    <w:p>
      <w:pPr>
        <w:pStyle w:val="ConsPlusNormal"/>
        <w:ind w:left="0" w:hanging="0"/>
        <w:jc w:val="right"/>
        <w:rPr/>
      </w:pPr>
      <w:r>
        <w:rPr/>
        <w:t>Российской Федерации</w:t>
      </w:r>
    </w:p>
    <w:p>
      <w:pPr>
        <w:pStyle w:val="ConsPlusNormal"/>
        <w:ind w:left="0" w:hanging="0"/>
        <w:jc w:val="right"/>
        <w:rPr/>
      </w:pPr>
      <w:r>
        <w:rPr/>
        <w:t>от 13 ноября 2010 г. N 902</w:t>
      </w:r>
    </w:p>
    <w:p>
      <w:pPr>
        <w:pStyle w:val="ConsPlusNormal"/>
        <w:ind w:left="0" w:firstLine="540"/>
        <w:jc w:val="both"/>
        <w:rPr/>
      </w:pPr>
      <w:r>
        <w:rPr/>
      </w:r>
    </w:p>
    <w:p>
      <w:pPr>
        <w:pStyle w:val="ConsPlusTitle"/>
        <w:ind w:left="0" w:hanging="0"/>
        <w:jc w:val="center"/>
        <w:rPr/>
      </w:pPr>
      <w:bookmarkStart w:id="0" w:name="Par33"/>
      <w:bookmarkEnd w:id="0"/>
      <w:r>
        <w:rPr/>
        <w:t>ПРАВИЛА</w:t>
      </w:r>
    </w:p>
    <w:p>
      <w:pPr>
        <w:pStyle w:val="ConsPlusTitle"/>
        <w:ind w:left="0" w:hanging="0"/>
        <w:jc w:val="center"/>
        <w:rPr/>
      </w:pPr>
      <w:r>
        <w:rPr/>
        <w:t>ПРИОБРЕТЕНИЯ, ХРАНЕНИЯ, УЧЕТА, РЕМОНТА И УНИЧТОЖЕНИЯ</w:t>
      </w:r>
    </w:p>
    <w:p>
      <w:pPr>
        <w:pStyle w:val="ConsPlusTitle"/>
        <w:ind w:left="0" w:hanging="0"/>
        <w:jc w:val="center"/>
        <w:rPr/>
      </w:pPr>
      <w:r>
        <w:rPr/>
        <w:t>СПЕЦИАЛЬНЫХ СРЕДСТВ, ИСПОЛЬЗУЕМЫХ РАБОТНИКАМИ ВЕДОМСТВЕННОЙ</w:t>
      </w:r>
    </w:p>
    <w:p>
      <w:pPr>
        <w:pStyle w:val="ConsPlusTitle"/>
        <w:ind w:left="0" w:hanging="0"/>
        <w:jc w:val="center"/>
        <w:rPr/>
      </w:pPr>
      <w:r>
        <w:rPr/>
        <w:t>ОХРАНЫ ГОСУДАРСТВЕННОЙ КОРПОРАЦИИ ПО СОДЕЙСТВИЮ РАЗРАБОТКЕ,</w:t>
      </w:r>
    </w:p>
    <w:p>
      <w:pPr>
        <w:pStyle w:val="ConsPlusTitle"/>
        <w:ind w:left="0" w:hanging="0"/>
        <w:jc w:val="center"/>
        <w:rPr/>
      </w:pPr>
      <w:r>
        <w:rPr/>
        <w:t>ПРОИЗВОДСТВУ И ЭКСПОРТУ ВЫСОКОТЕХНОЛОГИЧНОЙ ПРОМЫШЛЕННОЙ</w:t>
      </w:r>
    </w:p>
    <w:p>
      <w:pPr>
        <w:pStyle w:val="ConsPlusTitle"/>
        <w:ind w:left="0" w:hanging="0"/>
        <w:jc w:val="center"/>
        <w:rPr/>
      </w:pPr>
      <w:r>
        <w:rPr/>
        <w:t>ПРОДУКЦИИ "РОСТЕХ"</w:t>
      </w:r>
    </w:p>
    <w:p>
      <w:pPr>
        <w:pStyle w:val="ConsPlusNormal"/>
        <w:jc w:val="left"/>
        <w:rPr/>
      </w:pPr>
      <w:r>
        <w:rPr/>
      </w:r>
    </w:p>
    <w:tbl>
      <w:tblPr>
        <w:tblW w:w="10207" w:type="dxa"/>
        <w:jc w:val="left"/>
        <w:tblInd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60"/>
        <w:gridCol w:w="112"/>
        <w:gridCol w:w="9921"/>
        <w:gridCol w:w="113"/>
      </w:tblGrid>
      <w:tr>
        <w:trPr/>
        <w:tc>
          <w:tcPr>
            <w:tcW w:w="60" w:type="dxa"/>
            <w:tcBorders/>
            <w:shd w:color="auto" w:fill="CED3F1"/>
          </w:tcPr>
          <w:p>
            <w:pPr>
              <w:pStyle w:val="ConsPlusNormal"/>
              <w:tabs>
                <w:tab w:val="clear" w:pos="720"/>
              </w:tabs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2" w:type="dxa"/>
            <w:tcBorders/>
            <w:shd w:color="auto" w:fill="F4F3F8"/>
          </w:tcPr>
          <w:p>
            <w:pPr>
              <w:pStyle w:val="ConsPlusNormal"/>
              <w:tabs>
                <w:tab w:val="clear" w:pos="720"/>
              </w:tabs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921" w:type="dxa"/>
            <w:tcBorders/>
            <w:shd w:color="auto" w:fill="F4F3F8"/>
            <w:tcMar>
              <w:top w:w="113" w:type="dxa"/>
              <w:bottom w:w="113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Список изменяющих документов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(в ред. Постановлений Правительства РФ от 24.11.2015 N 1260,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от 06.05.2023 N 712, от 08.12.2023 N 2080, от 23.09.2024 N 1284)</w:t>
            </w:r>
          </w:p>
        </w:tc>
        <w:tc>
          <w:tcPr>
            <w:tcW w:w="113" w:type="dxa"/>
            <w:tcBorders/>
            <w:shd w:color="auto" w:fill="F4F3F8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  <w:color w:val="392C69"/>
              </w:rPr>
            </w:pPr>
            <w:r>
              <w:rPr>
                <w:b w:val="false"/>
                <w:color w:val="392C69"/>
              </w:rPr>
            </w:r>
          </w:p>
        </w:tc>
      </w:tr>
    </w:tbl>
    <w:p>
      <w:pPr>
        <w:pStyle w:val="ConsPlusNormal"/>
        <w:ind w:left="0" w:firstLine="54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1. Настоящие Правила устанавливают порядок приобретения, хранения, учета, ремонта и уничтожения специальных средств, используемых работниками ведомственной охраны Государственной корпорации по содействию разработке, производству и экспорту высокотехнологичной промышленной продукции "Ростех" (далее соответственно - специальные средства, ведомственная охрана).</w:t>
      </w:r>
    </w:p>
    <w:p>
      <w:pPr>
        <w:pStyle w:val="ConsPlusNormal"/>
        <w:ind w:left="0" w:hanging="0"/>
        <w:jc w:val="both"/>
        <w:rPr/>
      </w:pPr>
      <w:r>
        <w:rPr/>
        <w:t>(в ред. Постановления Правительства РФ от 24.11.2015 N 1260)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2. Ведомственной охраной могут приобретаться следующие специальные средства:</w:t>
      </w:r>
    </w:p>
    <w:p>
      <w:pPr>
        <w:pStyle w:val="ConsPlusNormal"/>
        <w:spacing w:before="240" w:after="0"/>
        <w:ind w:left="0" w:firstLine="540"/>
        <w:jc w:val="both"/>
        <w:rPr/>
      </w:pPr>
      <w:bookmarkStart w:id="1" w:name="Par46"/>
      <w:bookmarkEnd w:id="1"/>
      <w:r>
        <w:rPr/>
        <w:t>а) резиновые палки;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б) слезоточивый газ;</w:t>
      </w:r>
    </w:p>
    <w:p>
      <w:pPr>
        <w:pStyle w:val="ConsPlusNormal"/>
        <w:spacing w:before="240" w:after="0"/>
        <w:ind w:left="0" w:firstLine="540"/>
        <w:jc w:val="both"/>
        <w:rPr/>
      </w:pPr>
      <w:bookmarkStart w:id="2" w:name="Par48"/>
      <w:bookmarkEnd w:id="2"/>
      <w:r>
        <w:rPr/>
        <w:t>в) наручники;</w:t>
      </w:r>
    </w:p>
    <w:p>
      <w:pPr>
        <w:pStyle w:val="ConsPlusNormal"/>
        <w:spacing w:before="240" w:after="0"/>
        <w:ind w:left="0" w:firstLine="540"/>
        <w:jc w:val="both"/>
        <w:rPr/>
      </w:pPr>
      <w:bookmarkStart w:id="3" w:name="Par49"/>
      <w:bookmarkEnd w:id="3"/>
      <w:r>
        <w:rPr/>
        <w:t>г) средства принудительной остановки транспорта;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д) служебные собаки, в отношении которых настоящие Правила действуют в части их приобретения;</w:t>
      </w:r>
    </w:p>
    <w:p>
      <w:pPr>
        <w:pStyle w:val="ConsPlusNormal"/>
        <w:spacing w:before="240" w:after="0"/>
        <w:ind w:left="0" w:firstLine="540"/>
        <w:jc w:val="both"/>
        <w:rPr/>
      </w:pPr>
      <w:bookmarkStart w:id="4" w:name="Par51"/>
      <w:bookmarkEnd w:id="4"/>
      <w:r>
        <w:rPr/>
        <w:t>е) специальные технические средства противодействия беспилотным воздушным, подводным и надводным судам и аппаратам, беспилотным транспортным средствам и иным автоматизированным беспилотным комплексам (далее - беспилотные аппараты).</w:t>
      </w:r>
    </w:p>
    <w:p>
      <w:pPr>
        <w:pStyle w:val="ConsPlusNormal"/>
        <w:ind w:left="0" w:hanging="0"/>
        <w:jc w:val="both"/>
        <w:rPr/>
      </w:pPr>
      <w:r>
        <w:rPr/>
        <w:t>(пп. "е" в ред. Постановления Правительства РФ от 08.12.2023 N 2080)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3. Приобретение специальных средств должно оформляться документами, перечень, форма и порядок ведения которых определяются Федеральной службой войск национальной гвардии Российской Федерации.</w:t>
      </w:r>
    </w:p>
    <w:p>
      <w:pPr>
        <w:pStyle w:val="ConsPlusNormal"/>
        <w:ind w:left="0" w:hanging="0"/>
        <w:jc w:val="both"/>
        <w:rPr/>
      </w:pPr>
      <w:r>
        <w:rPr/>
        <w:t>(п. 3 в ред. Постановления Правительства РФ от 06.05.2023 N 712)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4. Приобретение специальных средств осуществляется у поставщиков (продавцов), имеющих право на их продажу в соответствии с законодательством Российской Федерации.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При транспортировании и перевозке партий специальных средств ведомственная охрана принимает меры, исключающие возможность свободного доступа к ним посторонних лиц. Транспортирование и перевозка специальных средств осуществляются в соответствии с требованиями эксплуатационных документов и правил перевозок.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4(1). Специальные технические средства противодействия беспилотным аппаратам могут приобретаться собственниками охраняемых объектов и предоставляться подразделениям ведомственной охраны во временное пользование.</w:t>
      </w:r>
    </w:p>
    <w:p>
      <w:pPr>
        <w:pStyle w:val="ConsPlusNormal"/>
        <w:ind w:left="0" w:hanging="0"/>
        <w:jc w:val="both"/>
        <w:rPr/>
      </w:pPr>
      <w:r>
        <w:rPr/>
        <w:t>(п. 4(1) введен Постановлением Правительства РФ от 23.09.2024 N 1284)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5. Специальные средства, кроме стационарных специальных технических средств противодействия беспилотным аппаратам, хранятся в опечатываемых, запирающихся на замок металлических шкафах (сейфах) в определенных эксплуатационной документацией условиях, обеспечивающих их сохранность, безопасность хранения и исключающих доступ к ним посторонних лиц.</w:t>
      </w:r>
    </w:p>
    <w:p>
      <w:pPr>
        <w:pStyle w:val="ConsPlusNormal"/>
        <w:ind w:left="0" w:hanging="0"/>
        <w:jc w:val="both"/>
        <w:rPr/>
      </w:pPr>
      <w:r>
        <w:rPr/>
        <w:t>(в ред. Постановления Правительства РФ от 23.09.2024 N 1284)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6. Ведомственная охрана обязана вести учет специальных средств по типу и количеству изделий при их приобретении, приеме на хранение, передаче, ремонте, расходе и уничтожении, выдаче и сдаче работниками ведомственной охраны. Перечень, форма и порядок ведения соответствующих документов определяются Федеральной службой войск национальной гвардии Российской Федерации.</w:t>
      </w:r>
    </w:p>
    <w:p>
      <w:pPr>
        <w:pStyle w:val="ConsPlusNormal"/>
        <w:ind w:left="0" w:hanging="0"/>
        <w:jc w:val="both"/>
        <w:rPr/>
      </w:pPr>
      <w:r>
        <w:rPr/>
        <w:t>(в ред. Постановления Правительства РФ от 06.05.2023 N 712)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7. Текущий ремонт средств принудительной остановки транспорта и специальных технических средств противодействия беспилотным аппаратам (ремонт, осуществляемый в соответствии с эксплуатационной документацией) может производиться подразделениями ведомственной охраны самостоятельно. При этом допускается осуществлять замену деталей только деталями из состава комплекта запасных частей, инструментов и принадлежностей или комплектующими предприятия-изготовителя.</w:t>
      </w:r>
    </w:p>
    <w:p>
      <w:pPr>
        <w:pStyle w:val="ConsPlusNormal"/>
        <w:ind w:left="0" w:hanging="0"/>
        <w:jc w:val="both"/>
        <w:rPr/>
      </w:pPr>
      <w:r>
        <w:rPr/>
        <w:t>(в ред. Постановлений Правительства РФ от 06.05.2023 N 712, от 08.12.2023 N 2080)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Сложный ремонт средств принудительной остановки транспорта и специальных технических средств противодействия беспилотным аппаратам осуществляется в ремонтных мастерских или на базах (при наличии) либо на предприятиях-изготовителях.</w:t>
      </w:r>
    </w:p>
    <w:p>
      <w:pPr>
        <w:pStyle w:val="ConsPlusNormal"/>
        <w:ind w:left="0" w:hanging="0"/>
        <w:jc w:val="both"/>
        <w:rPr/>
      </w:pPr>
      <w:r>
        <w:rPr/>
        <w:t>(в ред. Постановлений Правительства РФ от 06.05.2023 N 712, от 08.12.2023 N 2080)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 xml:space="preserve">8. Технически непригодные для эксплуатации специальные средства, указанные в </w:t>
      </w:r>
      <w:hyperlink w:anchor="Par46" w:tgtFrame="а) резиновые палки;">
        <w:r>
          <w:rPr>
            <w:color w:val="0000FF"/>
          </w:rPr>
          <w:t>подпунктах "а"</w:t>
        </w:r>
      </w:hyperlink>
      <w:r>
        <w:rPr/>
        <w:t xml:space="preserve"> - </w:t>
      </w:r>
      <w:hyperlink w:anchor="Par48" w:tgtFrame="в) наручники;">
        <w:r>
          <w:rPr>
            <w:color w:val="0000FF"/>
          </w:rPr>
          <w:t>"в" пункта 2</w:t>
        </w:r>
      </w:hyperlink>
      <w:r>
        <w:rPr/>
        <w:t xml:space="preserve"> настоящих Правил, ремонту не подлежат.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9. Передача (возврат) поставщикам (продавцам) для ремонта (замены) приобретенных у них специальных средств осуществляется на основании документов, перечень, форма и порядок ведения которых определяются Федеральной службой войск национальной гвардии Российской Федерации.</w:t>
      </w:r>
    </w:p>
    <w:p>
      <w:pPr>
        <w:pStyle w:val="ConsPlusNormal"/>
        <w:ind w:left="0" w:hanging="0"/>
        <w:jc w:val="both"/>
        <w:rPr/>
      </w:pPr>
      <w:r>
        <w:rPr/>
        <w:t>(в ред. Постановления Правительства РФ от 06.05.2023 N 712)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10. Специальные средства, технически непригодные для эксплуатации или с истекшим сроком эксплуатации, подлежат обязательному уничтожению. Методы уничтожения специальных средств должны исключать возможность их последующего использования по прямому назначению.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 xml:space="preserve">Специальные средства, указанные в </w:t>
      </w:r>
      <w:hyperlink w:anchor="Par46" w:tgtFrame="а) резиновые палки;">
        <w:r>
          <w:rPr>
            <w:color w:val="0000FF"/>
          </w:rPr>
          <w:t>подпунктах "а"</w:t>
        </w:r>
      </w:hyperlink>
      <w:r>
        <w:rPr/>
        <w:t xml:space="preserve">, </w:t>
      </w:r>
      <w:hyperlink w:anchor="Par48" w:tgtFrame="в) наручники;">
        <w:r>
          <w:rPr>
            <w:color w:val="0000FF"/>
          </w:rPr>
          <w:t>"в"</w:t>
        </w:r>
      </w:hyperlink>
      <w:r>
        <w:rPr/>
        <w:t xml:space="preserve"> и </w:t>
      </w:r>
      <w:hyperlink w:anchor="Par49" w:tgtFrame="г) средства принудительной остановки транспорта;">
        <w:r>
          <w:rPr>
            <w:color w:val="0000FF"/>
          </w:rPr>
          <w:t>"г" пункта 2</w:t>
        </w:r>
      </w:hyperlink>
      <w:r>
        <w:rPr/>
        <w:t xml:space="preserve"> настоящих Правил, могут уничтожаться подразделениями ведомственной охраны самостоятельно.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 xml:space="preserve">Специальные средства, указанные в </w:t>
      </w:r>
      <w:hyperlink w:anchor="Par51" w:tgtFrame="е) специальные технические средства противодействия беспилотным воздушным, подводным и надводным судам и аппаратам, беспилотным транспортным средствам и иным автоматизированным беспилотным комплексам (далее - беспилотные аппараты).">
        <w:r>
          <w:rPr>
            <w:color w:val="0000FF"/>
          </w:rPr>
          <w:t>подпункте "е" пункта 2</w:t>
        </w:r>
      </w:hyperlink>
      <w:r>
        <w:rPr/>
        <w:t xml:space="preserve"> настоящих Правил, уничтожаются самостоятельно либо передаются для уничтожения на специализированные предприятия.</w:t>
      </w:r>
    </w:p>
    <w:p>
      <w:pPr>
        <w:pStyle w:val="ConsPlusNormal"/>
        <w:ind w:left="0" w:hanging="0"/>
        <w:jc w:val="both"/>
        <w:rPr/>
      </w:pPr>
      <w:r>
        <w:rPr/>
        <w:t>(абзац введен Постановлением Правительства РФ от 06.05.2023 N 712)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11. Передача специальных средств для уничтожения специализированным предприятиям, а также их уничтожение осуществляются на основании документов, перечень, форма и порядок ведения которых определяются Федеральной службой войск национальной гвардии Российской Федерации.</w:t>
      </w:r>
    </w:p>
    <w:p>
      <w:pPr>
        <w:pStyle w:val="ConsPlusNormal"/>
        <w:ind w:left="0" w:hanging="0"/>
        <w:jc w:val="both"/>
        <w:rPr/>
      </w:pPr>
      <w:r>
        <w:rPr/>
        <w:t>(в ред. Постановления Правительства РФ от 06.05.2023 N 712)</w:t>
      </w:r>
    </w:p>
    <w:p>
      <w:pPr>
        <w:pStyle w:val="ConsPlusNormal"/>
        <w:ind w:left="0" w:firstLine="54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</w:r>
    </w:p>
    <w:p>
      <w:pPr>
        <w:pStyle w:val="ConsPlusNormal"/>
        <w:pBdr>
          <w:top w:val="single" w:sz="6" w:space="0" w:color="000000"/>
        </w:pBdr>
        <w:spacing w:before="100" w:after="100"/>
        <w:ind w:left="0" w:hanging="0"/>
        <w:jc w:val="both"/>
        <w:rPr/>
      </w:pPr>
      <w:r>
        <w:rPr/>
      </w:r>
    </w:p>
    <w:sectPr>
      <w:type w:val="nextPage"/>
      <w:pgSz w:w="11906" w:h="16838"/>
      <w:pgMar w:left="1133" w:right="566" w:header="0" w:top="1440" w:footer="0" w:bottom="1440" w:gutter="0"/>
      <w:pgNumType w:fmt="decimal"/>
      <w:formProt w:val="false"/>
      <w:textDirection w:val="lrTb"/>
      <w:docGrid w:type="default" w:linePitch="312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PT Astra Serif" w:hAnsi="PT Astra Serif" w:eastAsia="Tahoma" w:cs="Noto Sans Devanagari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bidi w:val="0"/>
    </w:pPr>
    <w:rPr>
      <w:rFonts w:ascii="PT Astra Serif" w:hAnsi="PT Astra Serif" w:eastAsia="Tahoma" w:cs="PT Astra Serif"/>
      <w:color w:val="auto"/>
      <w:kern w:val="2"/>
      <w:sz w:val="24"/>
      <w:szCs w:val="24"/>
      <w:lang w:val="ru-RU" w:eastAsia="zh-CN" w:bidi="hi-IN"/>
    </w:rPr>
  </w:style>
  <w:style w:type="character" w:styleId="Style14">
    <w:name w:val="Интернет-ссылка"/>
    <w:rPr>
      <w:color w:val="000080"/>
      <w:u w:val="single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>
      <w:spacing w:lineRule="auto" w:line="276" w:before="0" w:after="140"/>
    </w:pPr>
    <w:rPr/>
  </w:style>
  <w:style w:type="paragraph" w:styleId="Style18">
    <w:name w:val="Caption"/>
    <w:basedOn w:val="Normal"/>
    <w:qFormat/>
    <w:pPr>
      <w:spacing w:before="120" w:after="120"/>
    </w:pPr>
    <w:rPr>
      <w:i/>
      <w:iCs/>
    </w:rPr>
  </w:style>
  <w:style w:type="paragraph" w:styleId="Style19">
    <w:name w:val="Указатель"/>
    <w:basedOn w:val="Normal"/>
    <w:qFormat/>
    <w:pPr/>
    <w:rPr/>
  </w:style>
  <w:style w:type="paragraph" w:styleId="ConsPlusNormal">
    <w:name w:val="ConsPlusNormal"/>
    <w:qFormat/>
    <w:pPr>
      <w:widowControl w:val="false"/>
      <w:suppressAutoHyphens w:val="true"/>
      <w:bidi w:val="0"/>
    </w:pPr>
    <w:rPr>
      <w:rFonts w:ascii="Times New Roman" w:hAnsi="Times New Roman" w:eastAsia="Arial" w:cs="Times New Roman"/>
      <w:b w:val="false"/>
      <w:i w:val="false"/>
      <w:strike w:val="false"/>
      <w:dstrike w:val="false"/>
      <w:color w:val="auto"/>
      <w:kern w:val="2"/>
      <w:sz w:val="24"/>
      <w:szCs w:val="24"/>
      <w:u w:val="none"/>
      <w:lang w:val="ru-RU" w:eastAsia="zh-CN" w:bidi="hi-IN"/>
    </w:rPr>
  </w:style>
  <w:style w:type="paragraph" w:styleId="ConsPlusNonformat">
    <w:name w:val="ConsPlusNonformat"/>
    <w:qFormat/>
    <w:pPr>
      <w:widowControl w:val="false"/>
      <w:suppressAutoHyphens w:val="true"/>
      <w:bidi w:val="0"/>
    </w:pPr>
    <w:rPr>
      <w:rFonts w:ascii="Courier New" w:hAnsi="Courier New" w:eastAsia="Arial" w:cs="Courier New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zh-CN" w:bidi="hi-IN"/>
    </w:rPr>
  </w:style>
  <w:style w:type="paragraph" w:styleId="ConsPlusTitle">
    <w:name w:val="ConsPlusTitle"/>
    <w:qFormat/>
    <w:pPr>
      <w:widowControl w:val="false"/>
      <w:suppressAutoHyphens w:val="true"/>
      <w:bidi w:val="0"/>
    </w:pPr>
    <w:rPr>
      <w:rFonts w:ascii="Arial" w:hAnsi="Arial" w:eastAsia="Arial" w:cs="Arial"/>
      <w:b/>
      <w:i w:val="false"/>
      <w:strike w:val="false"/>
      <w:dstrike w:val="false"/>
      <w:color w:val="auto"/>
      <w:kern w:val="2"/>
      <w:sz w:val="24"/>
      <w:szCs w:val="24"/>
      <w:u w:val="none"/>
      <w:lang w:val="ru-RU" w:eastAsia="zh-CN" w:bidi="hi-IN"/>
    </w:rPr>
  </w:style>
  <w:style w:type="paragraph" w:styleId="ConsPlusCell">
    <w:name w:val="ConsPlusCell"/>
    <w:qFormat/>
    <w:pPr>
      <w:widowControl w:val="false"/>
      <w:suppressAutoHyphens w:val="true"/>
      <w:bidi w:val="0"/>
    </w:pPr>
    <w:rPr>
      <w:rFonts w:ascii="Courier New" w:hAnsi="Courier New" w:eastAsia="Arial" w:cs="Courier New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zh-CN" w:bidi="hi-IN"/>
    </w:rPr>
  </w:style>
  <w:style w:type="paragraph" w:styleId="ConsPlusDocList">
    <w:name w:val="ConsPlusDocList"/>
    <w:qFormat/>
    <w:pPr>
      <w:widowControl w:val="false"/>
      <w:suppressAutoHyphens w:val="true"/>
      <w:bidi w:val="0"/>
    </w:pPr>
    <w:rPr>
      <w:rFonts w:ascii="Tahoma" w:hAnsi="Tahoma" w:eastAsia="Arial" w:cs="Tahoma"/>
      <w:b w:val="false"/>
      <w:i w:val="false"/>
      <w:strike w:val="false"/>
      <w:dstrike w:val="false"/>
      <w:color w:val="auto"/>
      <w:kern w:val="2"/>
      <w:sz w:val="18"/>
      <w:szCs w:val="24"/>
      <w:u w:val="none"/>
      <w:lang w:val="ru-RU" w:eastAsia="zh-CN" w:bidi="hi-IN"/>
    </w:rPr>
  </w:style>
  <w:style w:type="paragraph" w:styleId="ConsPlusTitlePage">
    <w:name w:val="ConsPlusTitlePage"/>
    <w:qFormat/>
    <w:pPr>
      <w:widowControl w:val="false"/>
      <w:suppressAutoHyphens w:val="true"/>
      <w:bidi w:val="0"/>
    </w:pPr>
    <w:rPr>
      <w:rFonts w:ascii="Tahoma" w:hAnsi="Tahoma" w:eastAsia="Arial" w:cs="Tahoma"/>
      <w:b w:val="false"/>
      <w:i w:val="false"/>
      <w:strike w:val="false"/>
      <w:dstrike w:val="false"/>
      <w:color w:val="auto"/>
      <w:kern w:val="2"/>
      <w:sz w:val="24"/>
      <w:szCs w:val="24"/>
      <w:u w:val="none"/>
      <w:lang w:val="ru-RU" w:eastAsia="zh-CN" w:bidi="hi-IN"/>
    </w:rPr>
  </w:style>
  <w:style w:type="paragraph" w:styleId="ConsPlusJurTerm">
    <w:name w:val="ConsPlusJurTerm"/>
    <w:qFormat/>
    <w:pPr>
      <w:widowControl w:val="false"/>
      <w:suppressAutoHyphens w:val="true"/>
      <w:bidi w:val="0"/>
    </w:pPr>
    <w:rPr>
      <w:rFonts w:ascii="Tahoma" w:hAnsi="Tahoma" w:eastAsia="Arial" w:cs="Tahoma"/>
      <w:b w:val="false"/>
      <w:i w:val="false"/>
      <w:strike w:val="false"/>
      <w:dstrike w:val="false"/>
      <w:color w:val="auto"/>
      <w:kern w:val="2"/>
      <w:sz w:val="26"/>
      <w:szCs w:val="24"/>
      <w:u w:val="none"/>
      <w:lang w:val="ru-RU" w:eastAsia="zh-CN" w:bidi="hi-IN"/>
    </w:rPr>
  </w:style>
  <w:style w:type="paragraph" w:styleId="ConsPlusTextList">
    <w:name w:val="ConsPlusTextList"/>
    <w:qFormat/>
    <w:pPr>
      <w:widowControl w:val="false"/>
      <w:suppressAutoHyphens w:val="true"/>
      <w:bidi w:val="0"/>
    </w:pPr>
    <w:rPr>
      <w:rFonts w:ascii="Times New Roman" w:hAnsi="Times New Roman" w:eastAsia="Arial" w:cs="Times New Roman"/>
      <w:b w:val="false"/>
      <w:i w:val="false"/>
      <w:strike w:val="false"/>
      <w:dstrike w:val="false"/>
      <w:color w:val="auto"/>
      <w:kern w:val="2"/>
      <w:sz w:val="24"/>
      <w:szCs w:val="24"/>
      <w:u w:val="none"/>
      <w:lang w:val="ru-RU" w:eastAsia="zh-CN" w:bidi="hi-IN"/>
    </w:rPr>
  </w:style>
  <w:style w:type="paragraph" w:styleId="Style20">
    <w:name w:val="Колонтитул"/>
    <w:basedOn w:val="Normal"/>
    <w:qFormat/>
    <w:pPr/>
    <w:rPr/>
  </w:style>
  <w:style w:type="paragraph" w:styleId="Style21">
    <w:name w:val="Верхний и нижний колонтитулы"/>
    <w:basedOn w:val="Normal"/>
    <w:qFormat/>
    <w:pPr/>
    <w:rPr/>
  </w:style>
  <w:style w:type="paragraph" w:styleId="Style22">
    <w:name w:val="Header"/>
    <w:basedOn w:val="Style20"/>
    <w:pPr/>
    <w:rPr/>
  </w:style>
  <w:style w:type="paragraph" w:styleId="Style23">
    <w:name w:val="Footer"/>
    <w:basedOn w:val="Style20"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LibreOffice/6.4.7.2$Linux_X86_64 LibreOffice_project/155c490457025f32143219b3c36f6c1abf1f2442</Application>
  <Pages>4</Pages>
  <Words>839</Words>
  <Characters>6409</Characters>
  <CharactersWithSpaces>7183</CharactersWithSpaces>
  <Paragraphs>69</Paragraphs>
  <Company>КонсультантПлюс Версия 4023.00.50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2025-07-02T12:14:00Z</dcterms:created>
  <dc:creator/>
  <dc:description/>
  <dc:language>ru-RU</dc:language>
  <cp:lastModifiedBy/>
  <dcterms:modified xsi:type="dcterms:W3CDTF">2025-07-02T12:18:00Z</dcterms:modified>
  <cp:revision>0</cp:revision>
  <dc:subject/>
  <dc:title>Постановление Правительства РФ от 13.11.2010 N 902(ред. от 23.09.2024)"Об утверждении Правил приобретения, хранения, учета, ремонта и уничтожения специальных средств, используемых работниками ведомственной охраны Государственной корпорации по содействию разработке, производству и экспорту высокотехнологичной промышленной продукции "Ростех"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any">
    <vt:lpwstr>КонсультантПлюс Версия 4023.00.50</vt:lpwstr>
  </property>
</Properties>
</file>