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42"/>
              </w:rPr>
              <w:t>Постановление Правительства РФ от 26.01.2000 N 73</w:t>
            </w:r>
            <w:r>
              <w:rPr/>
              <w:br/>
            </w:r>
            <w:r>
              <w:rPr>
                <w:sz w:val="42"/>
              </w:rPr>
              <w:t>(ред. от 23.09.2024)</w:t>
            </w:r>
            <w:r>
              <w:rPr/>
              <w:br/>
            </w:r>
            <w:r>
              <w:rPr>
                <w:sz w:val="42"/>
              </w:rPr>
              <w:t>"Об утверждении Правил приобретения, хранения, учета, ремонта и уничтожения специальных средств, используемых работниками ведомственной охраны федеральных государственных органов, федеральных органов исполнительной власти, высшего исполнительного органа субъекта Российской Федерации - города федерального значения Москвы, Государственной корпорации по космической деятельности "Роскосмос", стратегического акционерного общества, ведущего деятельность по добыче природных алмазов"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0207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rFonts w:ascii="Tahoma" w:hAnsi="Tahoma" w:cs="Tahoma"/>
                <w:b w:val="false"/>
                <w:b w:val="false"/>
                <w:sz w:val="28"/>
              </w:rPr>
            </w:pPr>
            <w:r>
              <w:rPr>
                <w:rFonts w:cs="Tahoma" w:ascii="Tahoma" w:hAnsi="Tahoma"/>
                <w:b w:val="false"/>
                <w:sz w:val="28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ПРАВИТЕЛЬСТВО 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ПОСТАНОВЛЕНИЕ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26 января 2000 г. N 73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ОБ УТВЕРЖДЕНИИ ПРАВИЛ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ПРИОБРЕТЕНИЯ, ХРАНЕНИЯ, УЧЕТА, РЕМОНТА И УНИЧТОЖЕНИЯ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СПЕЦИАЛЬНЫХ СРЕДСТВ, ИСПОЛЬЗУЕМЫХ РАБОТНИКАМИ ВЕДОМСТВЕННОЙ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ОХРАНЫ ФЕДЕРАЛЬНЫХ ГОСУДАРСТВЕННЫХ ОРГАНОВ, ФЕДЕРАЛЬНЫХ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ОРГАНОВ ИСПОЛНИТЕЛЬНОЙ ВЛАСТИ, ВЫСШЕГО ИСПОЛНИТЕЛЬНОГО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ОРГАНА СУБЪЕКТА РОССИЙСКОЙ ФЕДЕРАЦИИ - ГОРОДА ФЕДЕРАЛЬНОГО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ЗНАЧЕНИЯ МОСКВЫ, ГОСУДАРСТВЕННОЙ КОРПОРАЦИИ ПО КОСМИЧЕСКОЙ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ДЕЯТЕЛЬНОСТИ "РОСКОСМОС", СТРАТЕГИЧЕСКОГО АКЦИОНЕРНОГО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ОБЩЕСТВА, ВЕДУЩЕГО ДЕЯТЕЛЬНОСТЬ ПО ДОБЫЧЕ ПРИРОДНЫХ АЛМАЗОВ</w:t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06.05.2023 N 712,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08.12.2023 N 2080, от 23.09.2024 N 1284)</w:t>
            </w:r>
          </w:p>
        </w:tc>
        <w:tc>
          <w:tcPr>
            <w:tcW w:w="113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В соответствии со статьей 9 Федерального закона "О ведомственной охране" (Собрание законодательства Российской Федерации, 1999, N 16, ст. 1935) Правительство Российской Федерации постановляет: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1. Утвердить прилагаемые </w:t>
      </w:r>
      <w:hyperlink w:anchor="Par39" w:tgtFrame="ПРАВИЛА">
        <w:r>
          <w:rPr>
            <w:color w:val="0000FF"/>
          </w:rPr>
          <w:t>Правила</w:t>
        </w:r>
      </w:hyperlink>
      <w:r>
        <w:rPr/>
        <w:t xml:space="preserve"> приобретения, хранения, учета, ремонта и уничтожения специальных средств, используемых работниками ведомственной охраны федеральных государственных органов, федеральных органов исполнительной власти, высшего исполнительного органа субъекта Российской Федерации - города федерального значения Москвы, Государственной корпорации по космической деятельности "Роскосмос", стратегического акционерного общества, ведущего деятельность по добыче природных алмазов.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Федеральной службе войск национальной гвардии Российской Федерации и федеральным государственным органам, федеральным органам исполнительной власти, высшему исполнительному органу субъекта Российской Федерации - города федерального значения Москвы, Государственной корпорации по космической деятельности "Роскосмос", стратегическому акционерному обществу, ведущему деятельность по добыче природных алмазов, обеспечить в пределах своей компетенции контроль за приобретением, хранением, учетом, ремонтом и уничтожением специальных средств, используемых работниками ведомственной охраны.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Федеральным органам исполнительной власти в 2-месячный срок привести свои нормативные правовые акты в соответствие с настоящим Постановлением.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Председатель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В.ПУТИН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Утверждены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26 января 2000 г. N 73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0" w:name="Par39"/>
      <w:bookmarkEnd w:id="0"/>
      <w:r>
        <w:rPr/>
        <w:t>ПРАВИЛА</w:t>
      </w:r>
    </w:p>
    <w:p>
      <w:pPr>
        <w:pStyle w:val="ConsPlusTitle"/>
        <w:ind w:left="0" w:hanging="0"/>
        <w:jc w:val="center"/>
        <w:rPr/>
      </w:pPr>
      <w:r>
        <w:rPr/>
        <w:t>ПРИОБРЕТЕНИЯ, ХРАНЕНИЯ, УЧЕТА, РЕМОНТА И УНИЧТОЖЕНИЯ</w:t>
      </w:r>
    </w:p>
    <w:p>
      <w:pPr>
        <w:pStyle w:val="ConsPlusTitle"/>
        <w:ind w:left="0" w:hanging="0"/>
        <w:jc w:val="center"/>
        <w:rPr/>
      </w:pPr>
      <w:r>
        <w:rPr/>
        <w:t>СПЕЦИАЛЬНЫХ СРЕДСТВ, ИСПОЛЬЗУЕМЫХ РАБОТНИКАМИ ВЕДОМСТВЕННОЙ</w:t>
      </w:r>
    </w:p>
    <w:p>
      <w:pPr>
        <w:pStyle w:val="ConsPlusTitle"/>
        <w:ind w:left="0" w:hanging="0"/>
        <w:jc w:val="center"/>
        <w:rPr/>
      </w:pPr>
      <w:r>
        <w:rPr/>
        <w:t>ОХРАНЫ ФЕДЕРАЛЬНЫХ ГОСУДАРСТВЕННЫХ ОРГАНОВ, ФЕДЕРАЛЬНЫХ</w:t>
      </w:r>
    </w:p>
    <w:p>
      <w:pPr>
        <w:pStyle w:val="ConsPlusTitle"/>
        <w:ind w:left="0" w:hanging="0"/>
        <w:jc w:val="center"/>
        <w:rPr/>
      </w:pPr>
      <w:r>
        <w:rPr/>
        <w:t>ОРГАНОВ ИСПОЛНИТЕЛЬНОЙ ВЛАСТИ, ВЫСШЕГО ИСПОЛНИТЕЛЬНОГО</w:t>
      </w:r>
    </w:p>
    <w:p>
      <w:pPr>
        <w:pStyle w:val="ConsPlusTitle"/>
        <w:ind w:left="0" w:hanging="0"/>
        <w:jc w:val="center"/>
        <w:rPr/>
      </w:pPr>
      <w:r>
        <w:rPr/>
        <w:t>ОРГАНА СУБЪЕКТА РОССИЙСКОЙ ФЕДЕРАЦИИ - ГОРОДА ФЕДЕРАЛЬНОГО</w:t>
      </w:r>
    </w:p>
    <w:p>
      <w:pPr>
        <w:pStyle w:val="ConsPlusTitle"/>
        <w:ind w:left="0" w:hanging="0"/>
        <w:jc w:val="center"/>
        <w:rPr/>
      </w:pPr>
      <w:r>
        <w:rPr/>
        <w:t>ЗНАЧЕНИЯ МОСКВЫ, ГОСУДАРСТВЕННОЙ КОРПОРАЦИИ ПО КОСМИЧЕСКОЙ</w:t>
      </w:r>
    </w:p>
    <w:p>
      <w:pPr>
        <w:pStyle w:val="ConsPlusTitle"/>
        <w:ind w:left="0" w:hanging="0"/>
        <w:jc w:val="center"/>
        <w:rPr/>
      </w:pPr>
      <w:r>
        <w:rPr/>
        <w:t>ДЕЯТЕЛЬНОСТИ "РОСКОСМОС", СТРАТЕГИЧЕСКОГО АКЦИОНЕРНОГО</w:t>
      </w:r>
    </w:p>
    <w:p>
      <w:pPr>
        <w:pStyle w:val="ConsPlusTitle"/>
        <w:ind w:left="0" w:hanging="0"/>
        <w:jc w:val="center"/>
        <w:rPr/>
      </w:pPr>
      <w:r>
        <w:rPr/>
        <w:t>ОБЩЕСТВА, ВЕДУЩЕГО ДЕЯТЕЛЬНОСТЬ ПО ДОБЫЧЕ ПРИРОДНЫХ АЛМАЗОВ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06.05.2023 N 712,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08.12.2023 N 2080, от 23.09.2024 N 1284)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I. Общие положения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Настоящие Правила устанавливают порядок приобретения, хранения, учета, ремонта и уничтожения специальных средств, используемых работниками ведомственной охраны федеральных государственных органов, федеральных органов исполнительной власти, высшего исполнительного органа субъекта Российской Федерации - города федерального значения Москвы, Государственной корпорации по космической деятельности "Роскосмос", стратегического акционерного общества, ведущего деятельность по добыче природных алмазов (далее - ведомственная охрана).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В качестве специальных средств работниками ведомственной охраны при исполнении служебных обязанностей могут применяться: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1" w:name="Par57"/>
      <w:bookmarkEnd w:id="1"/>
      <w:r>
        <w:rPr/>
        <w:t>а) резиновые палки;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2" w:name="Par58"/>
      <w:bookmarkEnd w:id="2"/>
      <w:r>
        <w:rPr/>
        <w:t>б) слезоточивый газ;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3" w:name="Par59"/>
      <w:bookmarkEnd w:id="3"/>
      <w:r>
        <w:rPr/>
        <w:t>в) наручники;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4" w:name="Par60"/>
      <w:bookmarkEnd w:id="4"/>
      <w:r>
        <w:rPr/>
        <w:t>г) средства принудительной остановки транспорта;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д) служебные собаки;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5" w:name="Par62"/>
      <w:bookmarkEnd w:id="5"/>
      <w:r>
        <w:rPr/>
        <w:t>е)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</w:t>
      </w:r>
    </w:p>
    <w:p>
      <w:pPr>
        <w:pStyle w:val="ConsPlusNormal"/>
        <w:ind w:left="0" w:hanging="0"/>
        <w:jc w:val="both"/>
        <w:rPr/>
      </w:pPr>
      <w:r>
        <w:rPr/>
        <w:t>(пп. "е" в ред. Постановления Правительства РФ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Запрещается использовать технически неисправные специальные средства, срок годности, хранения или использования которых истек, за исключением случаев испытаний в целях проверки их технического состояния.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Работники ведомственной охраны, имеющие право на использование специальных средств, обязаны выполнять установленные правила безопасного обращения с ними.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II. Приобретение специальных средств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5. Ведомственная охрана приобретает специальные средства (за исключением служебных собак) в соответствии с установленными нормами их обеспечения.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Приобретение специальных средств (за исключением служебных собак) осуществляется у поставщиков (продавцов), имеющих право на их продажу в соответствии с законодательством Российской Федерации.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При транспортировании и перевозке партий указанных специальных средств ведомственная охрана принимает меры, исключающие возможность свободного доступа к ним посторонних лиц. Транспортирование и перевозка таких специальных средств должны осуществляться в соответствии с требованиями эксплуатационных документов и правил перевозок.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Приобретение специальных средств (за исключением служебных собак) должно оформляться документами, перечень, форма и порядок ведения которых определяются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6(1). Специальные технические средства противодействия беспилотным аппаратам могут приобретаться собственниками охраняемых объектов и предоставляться подразделениям ведомственной охраны во временное пользование.</w:t>
      </w:r>
    </w:p>
    <w:p>
      <w:pPr>
        <w:pStyle w:val="ConsPlusNormal"/>
        <w:ind w:left="0" w:hanging="0"/>
        <w:jc w:val="both"/>
        <w:rPr/>
      </w:pPr>
      <w:r>
        <w:rPr/>
        <w:t>(п. 6(1) введен Постановлением Правительства РФ от 23.09.2024 N 1284)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III. Хранение специальных средств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7. Ведомственная охрана обязана хранить специальные средства, указанные в </w:t>
      </w:r>
      <w:hyperlink w:anchor="Par57" w:tgtFrame="а) резиновые палки;">
        <w:r>
          <w:rPr>
            <w:color w:val="0000FF"/>
          </w:rPr>
          <w:t>подпунктах "а"</w:t>
        </w:r>
      </w:hyperlink>
      <w:r>
        <w:rPr/>
        <w:t xml:space="preserve"> - </w:t>
      </w:r>
      <w:hyperlink w:anchor="Par60" w:tgtFrame="г) средства принудительной остановки транспорта;">
        <w:r>
          <w:rPr>
            <w:color w:val="0000FF"/>
          </w:rPr>
          <w:t>"г"</w:t>
        </w:r>
      </w:hyperlink>
      <w:r>
        <w:rPr/>
        <w:t xml:space="preserve"> и </w:t>
      </w:r>
      <w:hyperlink w:anchor="Par62" w:tgtFrame="е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">
        <w:r>
          <w:rPr>
            <w:color w:val="0000FF"/>
          </w:rPr>
          <w:t>"е" пункта 2</w:t>
        </w:r>
      </w:hyperlink>
      <w:r>
        <w:rPr/>
        <w:t xml:space="preserve"> настоящих Правил, кроме стационарных специальных технических средств противодействия беспилотным аппаратам и стационарных средств принудительной остановки транспорта, в опечатываемых, запирающихся на замок металлических шкафах (сейфах) в определенных эксплуатационной документацией условиях, обеспечивающих их сохранность, безопасность хранения и исключающих доступ к ним посторонних лиц.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При хранении специальных средств, указанных в </w:t>
      </w:r>
      <w:hyperlink w:anchor="Par58" w:tgtFrame="б) слезоточивый газ;">
        <w:r>
          <w:rPr>
            <w:color w:val="0000FF"/>
          </w:rPr>
          <w:t>подпункте "б" пункта 2</w:t>
        </w:r>
      </w:hyperlink>
      <w:r>
        <w:rPr/>
        <w:t xml:space="preserve"> настоящих Правил, в количестве 100 штук и более металлические шкафы (сейфы) должны размещаться в изолированных помещениях, специально оборудованных для этих целей, оснащенных техническими средствами охраны и иными средствами защиты в соответствии с требованиями, устанавливаемыми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IV. Учет специальных средств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8. Ведомственная охрана обязана вести учет специальных средств по типу и количеству изделий при их приобретении, приеме на хранение, передаче, ремонте, расходе и уничтожении, выдаче и сдаче работниками ведомственной охраны. Перечень, форма и порядок ведения соответствующих документов определяются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V. Ремонт специальных средств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9. Текущий ремонт средств принудительной остановки транспорта и специальных технических средств противодействия беспилотным аппаратам (то есть ремонт, осуществляемый в соответствии с эксплуатационной документацией) может производиться подразделениями ведомственной охраны самостоятельно. При этом замену деталей допускается производить только деталями из состава комплекта запасных частей, инструментов и принадлежностей или комплектующими предприятия - изготовителя.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Сложный ремонт средств принудительной остановки транспорта и специальных технических средств противодействия беспилотным аппаратам осуществляется в ремонтных мастерских (на базах), если таковые имеются, либо на предприятиях - изготовителях.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10. Технически непригодные для эксплуатации специальные средства, указанные в </w:t>
      </w:r>
      <w:hyperlink w:anchor="Par57" w:tgtFrame="а) резиновые палки;">
        <w:r>
          <w:rPr>
            <w:color w:val="0000FF"/>
          </w:rPr>
          <w:t>подпунктах "а"</w:t>
        </w:r>
      </w:hyperlink>
      <w:r>
        <w:rPr/>
        <w:t xml:space="preserve"> - </w:t>
      </w:r>
      <w:hyperlink w:anchor="Par59" w:tgtFrame="в) наручники;">
        <w:r>
          <w:rPr>
            <w:color w:val="0000FF"/>
          </w:rPr>
          <w:t>"в" пункта 2</w:t>
        </w:r>
      </w:hyperlink>
      <w:r>
        <w:rPr/>
        <w:t xml:space="preserve"> настоящих Правил, ремонту не подлежат.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11. Передача (возврат) поставщикам (продавцам) для ремонта (замены) приобретенных у них специальных средств оформляется документами, перечень, форма и порядок ведения которых определяются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VI. Уничтожение специальных средств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12. Технически непригодные для эксплуатации специальные средства, указанные в </w:t>
      </w:r>
      <w:hyperlink w:anchor="Par57" w:tgtFrame="а) резиновые палки;">
        <w:r>
          <w:rPr>
            <w:color w:val="0000FF"/>
          </w:rPr>
          <w:t>подпунктах "а"</w:t>
        </w:r>
      </w:hyperlink>
      <w:r>
        <w:rPr/>
        <w:t xml:space="preserve"> - </w:t>
      </w:r>
      <w:hyperlink w:anchor="Par60" w:tgtFrame="г) средства принудительной остановки транспорта;">
        <w:r>
          <w:rPr>
            <w:color w:val="0000FF"/>
          </w:rPr>
          <w:t>"г" пункта 2</w:t>
        </w:r>
      </w:hyperlink>
      <w:r>
        <w:rPr/>
        <w:t xml:space="preserve"> настоящих Правил, с истекшим сроком эксплуатации подлежат обязательному уничтожению. Методы уничтожения специальных средств должны исключать возможность их последующего использования по прямому назначению.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Специальные средства, указанные в </w:t>
      </w:r>
      <w:hyperlink w:anchor="Par57" w:tgtFrame="а) резиновые палки;">
        <w:r>
          <w:rPr>
            <w:color w:val="0000FF"/>
          </w:rPr>
          <w:t>подпунктах "а"</w:t>
        </w:r>
      </w:hyperlink>
      <w:r>
        <w:rPr/>
        <w:t xml:space="preserve">, </w:t>
      </w:r>
      <w:hyperlink w:anchor="Par59" w:tgtFrame="в) наручники;">
        <w:r>
          <w:rPr>
            <w:color w:val="0000FF"/>
          </w:rPr>
          <w:t>"в"</w:t>
        </w:r>
      </w:hyperlink>
      <w:r>
        <w:rPr/>
        <w:t xml:space="preserve"> и </w:t>
      </w:r>
      <w:hyperlink w:anchor="Par60" w:tgtFrame="г) средства принудительной остановки транспорта;">
        <w:r>
          <w:rPr>
            <w:color w:val="0000FF"/>
          </w:rPr>
          <w:t>"г" пункта 2</w:t>
        </w:r>
      </w:hyperlink>
      <w:r>
        <w:rPr/>
        <w:t xml:space="preserve"> настоящих Правил, могут уничтожаться подразделениями ведомственной охраны самостоятельно.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Специальные средства, указанные в </w:t>
      </w:r>
      <w:hyperlink w:anchor="Par58" w:tgtFrame="б) слезоточивый газ;">
        <w:r>
          <w:rPr>
            <w:color w:val="0000FF"/>
          </w:rPr>
          <w:t>подпункте "б" пункта 2</w:t>
        </w:r>
      </w:hyperlink>
      <w:r>
        <w:rPr/>
        <w:t xml:space="preserve"> настоящих Правил, передаются для уничтожения на специализированные предприятия.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Специальные средства, указанные в </w:t>
      </w:r>
      <w:hyperlink w:anchor="Par62" w:tgtFrame="е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">
        <w:r>
          <w:rPr>
            <w:color w:val="0000FF"/>
          </w:rPr>
          <w:t>подпункте "е" пункта 2</w:t>
        </w:r>
      </w:hyperlink>
      <w:r>
        <w:rPr/>
        <w:t xml:space="preserve"> настоящих Правил, уничтожаются самостоятельно либо передаются для уничтожения на специализированные предприятия.</w:t>
      </w:r>
    </w:p>
    <w:p>
      <w:pPr>
        <w:pStyle w:val="ConsPlusNormal"/>
        <w:ind w:left="0" w:hanging="0"/>
        <w:jc w:val="both"/>
        <w:rPr/>
      </w:pPr>
      <w:r>
        <w:rPr/>
        <w:t>(абзац введен Постановлением Правительства РФ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13. Передача специальных средств для их уничтожения специализированными предприятиями или уничтожение специальных средств оформляются документами, перечень, форма и порядок ведения которых определяются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ind w:left="0" w:hanging="0"/>
        <w:jc w:val="left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5</Pages>
  <Words>1244</Words>
  <Characters>9505</Characters>
  <CharactersWithSpaces>10663</CharactersWithSpaces>
  <Paragraphs>90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2025-07-02T11:42:00Z</dcterms:created>
  <dc:creator/>
  <dc:description/>
  <dc:language>ru-RU</dc:language>
  <cp:lastModifiedBy/>
  <dcterms:modified xsi:type="dcterms:W3CDTF">2025-07-02T11:44:00Z</dcterms:modified>
  <cp:revision>0</cp:revision>
  <dc:subject/>
  <dc:title>Постановление Правительства РФ от 26.01.2000 N 73(ред. от 23.09.2024)"Об утверждении Правил приобретения, хранения, учета, ремонта и уничтожения специальных средств, используемых работниками ведомственной охраны федеральных государственных органов, федеральных органов исполнительной власти, высшего исполнительного органа субъекта Российской Федерации - города федерального значения Москвы, Государственной корпорации по космической деятельности "Роскосмос", стратегического акционерного общества, ведущего де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