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0208" w:type="dxa"/>
        <w:jc w:val="left"/>
        <w:tblInd w:w="80" w:type="dxa"/>
        <w:tblCellMar>
          <w:top w:w="60" w:type="dxa"/>
          <w:left w:w="80" w:type="dxa"/>
          <w:bottom w:w="60" w:type="dxa"/>
          <w:right w:w="80" w:type="dxa"/>
        </w:tblCellMar>
      </w:tblPr>
      <w:tblGrid>
        <w:gridCol w:w="10208"/>
      </w:tblGrid>
      <w:tr>
        <w:trPr>
          <w:trHeight w:val="2791" w:hRule="exact"/>
        </w:trPr>
        <w:tc>
          <w:tcPr>
            <w:tcW w:w="10208" w:type="dxa"/>
            <w:tcBorders/>
          </w:tcPr>
          <w:p>
            <w:pPr>
              <w:pStyle w:val="ConsPlusTitlePage"/>
              <w:tabs>
                <w:tab w:val="clear" w:pos="720"/>
              </w:tabs>
              <w:ind w:left="0" w:hanging="0"/>
              <w:jc w:val="left"/>
              <w:rPr>
                <w:b w:val="false"/>
                <w:b w:val="false"/>
              </w:rPr>
            </w:pPr>
            <w:r>
              <w:rPr/>
              <w:drawing>
                <wp:inline distT="0" distB="0" distL="0" distR="0">
                  <wp:extent cx="3810000" cy="90487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3810000" cy="904875"/>
                          </a:xfrm>
                          <a:prstGeom prst="rect">
                            <a:avLst/>
                          </a:prstGeom>
                        </pic:spPr>
                      </pic:pic>
                    </a:graphicData>
                  </a:graphic>
                </wp:inline>
              </w:drawing>
            </w:r>
          </w:p>
        </w:tc>
      </w:tr>
      <w:tr>
        <w:trPr>
          <w:trHeight w:val="7676" w:hRule="exact"/>
        </w:trPr>
        <w:tc>
          <w:tcPr>
            <w:tcW w:w="10208" w:type="dxa"/>
            <w:tcBorders/>
            <w:vAlign w:val="center"/>
          </w:tcPr>
          <w:p>
            <w:pPr>
              <w:pStyle w:val="ConsPlusTitlePage"/>
              <w:tabs>
                <w:tab w:val="clear" w:pos="720"/>
              </w:tabs>
              <w:ind w:left="0" w:hanging="0"/>
              <w:jc w:val="center"/>
              <w:rPr>
                <w:b w:val="false"/>
                <w:b w:val="false"/>
              </w:rPr>
            </w:pPr>
            <w:r>
              <w:rPr>
                <w:sz w:val="48"/>
              </w:rPr>
              <w:t>Постановление Правительства РФ от 30.12.1999 N 1436</w:t>
            </w:r>
            <w:r>
              <w:rPr/>
              <w:br/>
            </w:r>
            <w:r>
              <w:rPr>
                <w:sz w:val="48"/>
              </w:rPr>
              <w:t>(ред. от 23.09.2024)</w:t>
            </w:r>
            <w:r>
              <w:rPr/>
              <w:br/>
            </w:r>
            <w:r>
              <w:rPr>
                <w:sz w:val="48"/>
              </w:rPr>
              <w:t>"О специальных средствах и огнестрельном оружии, используемых ведомственной охраной"</w:t>
            </w:r>
          </w:p>
        </w:tc>
      </w:tr>
      <w:tr>
        <w:trPr>
          <w:trHeight w:val="2791" w:hRule="exact"/>
        </w:trPr>
        <w:tc>
          <w:tcPr>
            <w:tcW w:w="10208" w:type="dxa"/>
            <w:tcBorders/>
            <w:vAlign w:val="center"/>
          </w:tcPr>
          <w:p>
            <w:pPr>
              <w:pStyle w:val="ConsPlusTitlePage"/>
              <w:tabs>
                <w:tab w:val="clear" w:pos="720"/>
              </w:tabs>
              <w:ind w:left="0" w:hanging="0"/>
              <w:jc w:val="center"/>
              <w:rPr>
                <w:b w:val="false"/>
                <w:b w:val="false"/>
              </w:rPr>
            </w:pPr>
            <w:r>
              <w:rPr>
                <w:b w:val="false"/>
              </w:rPr>
            </w:r>
          </w:p>
        </w:tc>
      </w:tr>
    </w:tbl>
    <w:tbl>
      <w:tblPr>
        <w:tblW w:w="10207" w:type="dxa"/>
        <w:jc w:val="left"/>
        <w:tblInd w:w="40" w:type="dxa"/>
        <w:tblCellMar>
          <w:top w:w="0" w:type="dxa"/>
          <w:left w:w="40" w:type="dxa"/>
          <w:bottom w:w="0" w:type="dxa"/>
          <w:right w:w="40" w:type="dxa"/>
        </w:tblCellMar>
      </w:tblPr>
      <w:tblGrid>
        <w:gridCol w:w="60"/>
        <w:gridCol w:w="112"/>
        <w:gridCol w:w="9921"/>
        <w:gridCol w:w="113"/>
      </w:tblGrid>
      <w:tr>
        <w:trPr/>
        <w:tc>
          <w:tcPr>
            <w:tcW w:w="60" w:type="dxa"/>
            <w:tcBorders/>
            <w:vAlign w:val="center"/>
          </w:tcPr>
          <w:p>
            <w:pPr>
              <w:pStyle w:val="ConsPlusNormal"/>
              <w:tabs>
                <w:tab w:val="clear" w:pos="720"/>
              </w:tabs>
              <w:jc w:val="left"/>
              <w:rPr>
                <w:rFonts w:ascii="Tahoma" w:hAnsi="Tahoma" w:cs="Tahoma"/>
                <w:b w:val="false"/>
                <w:b w:val="false"/>
                <w:sz w:val="28"/>
              </w:rPr>
            </w:pPr>
            <w:r>
              <w:rPr>
                <w:rFonts w:cs="Tahoma" w:ascii="Tahoma" w:hAnsi="Tahoma"/>
                <w:b w:val="false"/>
                <w:sz w:val="28"/>
              </w:rPr>
            </w:r>
          </w:p>
          <w:p>
            <w:pPr>
              <w:pStyle w:val="ConsPlusTitle"/>
              <w:tabs>
                <w:tab w:val="clear" w:pos="720"/>
              </w:tabs>
              <w:ind w:left="0" w:hanging="0"/>
              <w:jc w:val="center"/>
              <w:rPr>
                <w:b w:val="false"/>
                <w:b w:val="false"/>
              </w:rPr>
            </w:pPr>
            <w:r>
              <w:rPr/>
              <w:t>ПРАВИТЕЛЬСТВО РОССИЙСКОЙ ФЕДЕРАЦИИ</w:t>
            </w:r>
          </w:p>
          <w:p>
            <w:pPr>
              <w:pStyle w:val="ConsPlusTitle"/>
              <w:tabs>
                <w:tab w:val="clear" w:pos="720"/>
              </w:tabs>
              <w:ind w:left="0" w:hanging="0"/>
              <w:jc w:val="center"/>
              <w:rPr>
                <w:b w:val="false"/>
                <w:b w:val="false"/>
              </w:rPr>
            </w:pPr>
            <w:r>
              <w:rPr>
                <w:b w:val="false"/>
              </w:rPr>
            </w:r>
          </w:p>
          <w:p>
            <w:pPr>
              <w:pStyle w:val="ConsPlusTitle"/>
              <w:tabs>
                <w:tab w:val="clear" w:pos="720"/>
              </w:tabs>
              <w:ind w:left="0" w:hanging="0"/>
              <w:jc w:val="center"/>
              <w:rPr>
                <w:b w:val="false"/>
                <w:b w:val="false"/>
              </w:rPr>
            </w:pPr>
            <w:r>
              <w:rPr/>
              <w:t>ПОСТАНОВЛЕНИЕ</w:t>
            </w:r>
          </w:p>
          <w:p>
            <w:pPr>
              <w:pStyle w:val="ConsPlusTitle"/>
              <w:tabs>
                <w:tab w:val="clear" w:pos="720"/>
              </w:tabs>
              <w:ind w:left="0" w:hanging="0"/>
              <w:jc w:val="center"/>
              <w:rPr>
                <w:b w:val="false"/>
                <w:b w:val="false"/>
              </w:rPr>
            </w:pPr>
            <w:r>
              <w:rPr/>
              <w:t>от 30 декабря 1999 г. N 1436</w:t>
            </w:r>
          </w:p>
          <w:p>
            <w:pPr>
              <w:pStyle w:val="ConsPlusTitle"/>
              <w:tabs>
                <w:tab w:val="clear" w:pos="720"/>
              </w:tabs>
              <w:ind w:left="0" w:hanging="0"/>
              <w:jc w:val="center"/>
              <w:rPr>
                <w:b w:val="false"/>
                <w:b w:val="false"/>
              </w:rPr>
            </w:pPr>
            <w:r>
              <w:rPr>
                <w:b w:val="false"/>
              </w:rPr>
            </w:r>
          </w:p>
          <w:p>
            <w:pPr>
              <w:pStyle w:val="ConsPlusTitle"/>
              <w:tabs>
                <w:tab w:val="clear" w:pos="720"/>
              </w:tabs>
              <w:ind w:left="0" w:hanging="0"/>
              <w:jc w:val="center"/>
              <w:rPr>
                <w:b w:val="false"/>
                <w:b w:val="false"/>
              </w:rPr>
            </w:pPr>
            <w:r>
              <w:rPr/>
              <w:t>О СПЕЦИАЛЬНЫХ СРЕДСТВАХ И ОГНЕСТРЕЛЬНОМ ОРУЖИИ,</w:t>
            </w:r>
          </w:p>
          <w:p>
            <w:pPr>
              <w:pStyle w:val="ConsPlusTitle"/>
              <w:tabs>
                <w:tab w:val="clear" w:pos="720"/>
              </w:tabs>
              <w:ind w:left="0" w:hanging="0"/>
              <w:jc w:val="center"/>
              <w:rPr>
                <w:b w:val="false"/>
                <w:b w:val="false"/>
              </w:rPr>
            </w:pPr>
            <w:r>
              <w:rPr/>
              <w:t>ИСПОЛЬЗУЕМЫХ ВЕДОМСТВЕННОЙ ОХРАНОЙ</w:t>
            </w:r>
          </w:p>
          <w:p>
            <w:pPr>
              <w:pStyle w:val="ConsPlusNormal"/>
              <w:tabs>
                <w:tab w:val="clear" w:pos="720"/>
              </w:tabs>
              <w:jc w:val="left"/>
              <w:rPr>
                <w:b w:val="false"/>
                <w:b w:val="false"/>
              </w:rPr>
            </w:pPr>
            <w:r>
              <w:rPr>
                <w:b w:val="false"/>
              </w:rPr>
            </w:r>
          </w:p>
          <w:p>
            <w:pPr>
              <w:pStyle w:val="ConsPlusNormal"/>
              <w:tabs>
                <w:tab w:val="clear" w:pos="720"/>
              </w:tabs>
              <w:jc w:val="left"/>
              <w:rPr>
                <w:b w:val="false"/>
                <w:b w:val="false"/>
              </w:rPr>
            </w:pPr>
            <w:r>
              <w:rPr>
                <w:b w:val="false"/>
              </w:rPr>
            </w:r>
          </w:p>
        </w:tc>
        <w:tc>
          <w:tcPr>
            <w:tcW w:w="112" w:type="dxa"/>
            <w:tcBorders/>
            <w:vAlign w:val="center"/>
          </w:tcPr>
          <w:p>
            <w:pPr>
              <w:pStyle w:val="ConsPlusNormal"/>
              <w:tabs>
                <w:tab w:val="clear" w:pos="720"/>
              </w:tabs>
              <w:jc w:val="left"/>
              <w:rPr>
                <w:b w:val="false"/>
                <w:b w:val="false"/>
              </w:rPr>
            </w:pPr>
            <w:r>
              <w:rPr>
                <w:b w:val="false"/>
              </w:rPr>
            </w:r>
          </w:p>
        </w:tc>
        <w:tc>
          <w:tcPr>
            <w:tcW w:w="9921" w:type="dxa"/>
            <w:tcBorders/>
            <w:vAlign w:val="cente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Постановлений Правительства РФ от 11.02.2003 N 87,</w:t>
            </w:r>
          </w:p>
          <w:p>
            <w:pPr>
              <w:pStyle w:val="ConsPlusNormal"/>
              <w:tabs>
                <w:tab w:val="clear" w:pos="720"/>
              </w:tabs>
              <w:ind w:left="0" w:hanging="0"/>
              <w:jc w:val="center"/>
              <w:rPr>
                <w:b w:val="false"/>
                <w:b w:val="false"/>
              </w:rPr>
            </w:pPr>
            <w:r>
              <w:rPr>
                <w:color w:val="392C69"/>
              </w:rPr>
              <w:t>от 10.07.2014 N 644, от 18.01.2018 N 17, от 06.05.2023 N 712,</w:t>
            </w:r>
          </w:p>
          <w:p>
            <w:pPr>
              <w:pStyle w:val="ConsPlusNormal"/>
              <w:tabs>
                <w:tab w:val="clear" w:pos="720"/>
              </w:tabs>
              <w:ind w:left="0" w:hanging="0"/>
              <w:jc w:val="center"/>
              <w:rPr>
                <w:b w:val="false"/>
                <w:b w:val="false"/>
              </w:rPr>
            </w:pPr>
            <w:r>
              <w:rPr>
                <w:color w:val="392C69"/>
              </w:rPr>
              <w:t>от 08.12.2023 N 2080, от 23.09.2024 N 1284)</w:t>
            </w:r>
          </w:p>
        </w:tc>
        <w:tc>
          <w:tcPr>
            <w:tcW w:w="113" w:type="dxa"/>
            <w:tcBorders/>
            <w:vAlign w:val="center"/>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center"/>
        <w:rPr/>
      </w:pPr>
      <w:r>
        <w:rPr/>
      </w:r>
    </w:p>
    <w:p>
      <w:pPr>
        <w:pStyle w:val="ConsPlusNormal"/>
        <w:ind w:left="0" w:firstLine="540"/>
        <w:jc w:val="both"/>
        <w:rPr/>
      </w:pPr>
      <w:r>
        <w:rPr/>
        <w:t>Во исполнение статьи 9 Федерального закона "О ведомственной охране" (Собрание законодательства Российской Федерации, 1999, N 16, ст. 1935) Правительство Российской Федерации постановляет:</w:t>
      </w:r>
    </w:p>
    <w:p>
      <w:pPr>
        <w:pStyle w:val="ConsPlusNormal"/>
        <w:spacing w:before="240" w:after="0"/>
        <w:ind w:left="0" w:firstLine="540"/>
        <w:jc w:val="both"/>
        <w:rPr/>
      </w:pPr>
      <w:r>
        <w:rPr/>
        <w:t>1. Утвердить:</w:t>
      </w:r>
    </w:p>
    <w:p>
      <w:pPr>
        <w:pStyle w:val="ConsPlusNormal"/>
        <w:spacing w:before="240" w:after="0"/>
        <w:ind w:left="0" w:firstLine="540"/>
        <w:jc w:val="both"/>
        <w:rPr/>
      </w:pPr>
      <w:hyperlink w:anchor="Par47" w:tgtFrame="ПЕРЕЧЕНЬ">
        <w:r>
          <w:rPr>
            <w:color w:val="0000FF"/>
          </w:rPr>
          <w:t>перечень</w:t>
        </w:r>
      </w:hyperlink>
      <w:r>
        <w:rPr/>
        <w:t xml:space="preserve"> специальных средств, видов, типов и моделей служебного огнестрельного оружия, патронов к нему и нормы обеспечения ими работников ведомственной охраны федеральных государственных органов, федеральных органов исполнительной власти, высшего исполнительного органа субъекта Российской Федерации - города федерального значения Москвы, организаций, имеющих в соответствии с законодательством Российской Федерации право на создание ведомственной охраны;</w:t>
      </w:r>
    </w:p>
    <w:p>
      <w:pPr>
        <w:pStyle w:val="ConsPlusNormal"/>
        <w:ind w:left="0" w:hanging="0"/>
        <w:jc w:val="both"/>
        <w:rPr/>
      </w:pPr>
      <w:r>
        <w:rPr/>
        <w:t>(в ред. Постановлений Правительства РФ от 18.01.2018 N 17, от 06.05.2023 N 712)</w:t>
      </w:r>
    </w:p>
    <w:p>
      <w:pPr>
        <w:pStyle w:val="ConsPlusNormal"/>
        <w:spacing w:before="240" w:after="0"/>
        <w:ind w:left="0" w:firstLine="540"/>
        <w:jc w:val="both"/>
        <w:rPr/>
      </w:pPr>
      <w:hyperlink w:anchor="Par204" w:tgtFrame="ПЕРЕЧЕНЬ">
        <w:r>
          <w:rPr>
            <w:color w:val="0000FF"/>
          </w:rPr>
          <w:t>перечень</w:t>
        </w:r>
      </w:hyperlink>
      <w:r>
        <w:rPr/>
        <w:t xml:space="preserve"> отдельных типов и моделей боевого ручного стрелкового оружия и патронов к нему, которые могут быть получены в территориальных органах Федеральной службы войск национальной гвардии Российской Федерации федеральными государственными органами, федеральными органами исполнительной власти, высшим исполнительным органом субъекта Российской Федерации - города федерального значения Москвы, организациями, имеющими в соответствии с законодательством Российской Федерации право на создание ведомственной охраны, во временное пользование, и нормы обеспечения ими работников ведомственной охраны.</w:t>
      </w:r>
    </w:p>
    <w:p>
      <w:pPr>
        <w:pStyle w:val="ConsPlusNormal"/>
        <w:ind w:left="0" w:hanging="0"/>
        <w:jc w:val="both"/>
        <w:rPr/>
      </w:pPr>
      <w:r>
        <w:rPr/>
        <w:t>(в ред. Постановлений Правительства РФ от 18.01.2018 N 17, от 06.05.2023 N 712)</w:t>
      </w:r>
    </w:p>
    <w:p>
      <w:pPr>
        <w:pStyle w:val="ConsPlusNormal"/>
        <w:spacing w:before="240" w:after="0"/>
        <w:ind w:left="0" w:firstLine="540"/>
        <w:jc w:val="both"/>
        <w:rPr/>
      </w:pPr>
      <w:r>
        <w:rPr/>
        <w:t>2. Установить, что:</w:t>
      </w:r>
    </w:p>
    <w:p>
      <w:pPr>
        <w:pStyle w:val="ConsPlusNormal"/>
        <w:spacing w:before="240" w:after="0"/>
        <w:ind w:left="0" w:firstLine="540"/>
        <w:jc w:val="both"/>
        <w:rPr/>
      </w:pPr>
      <w:r>
        <w:rPr/>
        <w:t>боевое ручное стрелковое оружие, получаемое в территориальных органах Федеральной службы войск национальной гвардии Российской Федерации во временное пользование федеральными государственными органами, федеральными органами исполнительной власти, высшим исполнительным органом субъекта Российской Федерации - города федерального значения Москвы, организациями, имеющими в соответствии с законодательством Российской Федерации право на создание ведомственной охраны, для обеспечения работников ведомственной охраны (далее - боевое оружие), используется указанными работниками ведомственной охраны для исполнения предусмотренных абзацем седьмым части третьей статьи 12 Федерального закона "Об оружии" функций;</w:t>
      </w:r>
    </w:p>
    <w:p>
      <w:pPr>
        <w:pStyle w:val="ConsPlusNormal"/>
        <w:ind w:left="0" w:hanging="0"/>
        <w:jc w:val="both"/>
        <w:rPr/>
      </w:pPr>
      <w:r>
        <w:rPr/>
        <w:t>(в ред. Постановления Правительства РФ от 06.05.2023 N 712)</w:t>
      </w:r>
    </w:p>
    <w:p>
      <w:pPr>
        <w:pStyle w:val="ConsPlusNormal"/>
        <w:spacing w:before="240" w:after="0"/>
        <w:ind w:left="0" w:firstLine="540"/>
        <w:jc w:val="both"/>
        <w:rPr/>
      </w:pPr>
      <w:r>
        <w:rPr/>
        <w:t>боевое оружие, приобретенное в установленном порядке до вступления в силу Федерального закона "Об оружии" федеральными органами исполнительной власти, за исключением государственных военизированных организаций, для обеспечения работников ведомственной охраны, учитывается в Федеральной службе войск национальной гвардии Российской Федерации, является федеральной собственностью и считается полученным федеральными органами исполнительной власти во временное пользование;</w:t>
      </w:r>
    </w:p>
    <w:p>
      <w:pPr>
        <w:pStyle w:val="ConsPlusNormal"/>
        <w:ind w:left="0" w:hanging="0"/>
        <w:jc w:val="both"/>
        <w:rPr/>
      </w:pPr>
      <w:r>
        <w:rPr/>
        <w:t>(в ред. Постановлений Правительства РФ от 06.05.2023 N 712, от 23.09.2024 N 1284)</w:t>
      </w:r>
    </w:p>
    <w:p>
      <w:pPr>
        <w:pStyle w:val="ConsPlusNormal"/>
        <w:spacing w:before="240" w:after="0"/>
        <w:ind w:left="0" w:firstLine="540"/>
        <w:jc w:val="both"/>
        <w:rPr/>
      </w:pPr>
      <w:r>
        <w:rPr/>
        <w:t>плата за временное пользование боевым оружием и боевым оружием, приобретенным в установленном порядке до вступления в силу Федерального закона "Об оружии", с федеральных органов исполнительной власти не взимается;</w:t>
      </w:r>
    </w:p>
    <w:p>
      <w:pPr>
        <w:pStyle w:val="ConsPlusNormal"/>
        <w:ind w:left="0" w:hanging="0"/>
        <w:jc w:val="both"/>
        <w:rPr/>
      </w:pPr>
      <w:r>
        <w:rPr/>
        <w:t>(в ред. Постановления Правительства РФ от 23.09.2024 N 1284)</w:t>
      </w:r>
    </w:p>
    <w:p>
      <w:pPr>
        <w:pStyle w:val="ConsPlusNormal"/>
        <w:spacing w:before="240" w:after="0"/>
        <w:ind w:left="0" w:firstLine="540"/>
        <w:jc w:val="both"/>
        <w:rPr/>
      </w:pPr>
      <w:r>
        <w:rPr/>
        <w:t>расходы Федеральной службы войск национальной гвардии Российской Федерации или ее территориальных органов, связанные с приобретением боевого оружия, его транспортировкой, хранением, ремонтом и техническим обслуживанием, и патронов к нему, возмещаются федеральными государственными органами, федеральными органами исполнительной власти, высшим исполнительным органом субъекта Российской Федерации - города федерального значения Москвы, организациями, имеющими в соответствии с законодательством Российской Федерации право на создание ведомственной охраны, в соответствии с договорами, заключенными с Федеральной службой войск национальной гвардии Российской Федерации. При этом расходы по транспортировке, хранению, ремонту и техническому обслуживанию оплачиваются со дня заключения договоров исходя из норм (расчетов), действующих в Федеральной службе войск национальной гвардии Российской Федерации.</w:t>
      </w:r>
    </w:p>
    <w:p>
      <w:pPr>
        <w:pStyle w:val="ConsPlusNormal"/>
        <w:ind w:left="0" w:hanging="0"/>
        <w:jc w:val="both"/>
        <w:rPr/>
      </w:pPr>
      <w:r>
        <w:rPr/>
        <w:t>(в ред. Постановления Правительства РФ от 23.09.2024 N 1284)</w:t>
      </w:r>
    </w:p>
    <w:p>
      <w:pPr>
        <w:pStyle w:val="ConsPlusNormal"/>
        <w:spacing w:before="240" w:after="0"/>
        <w:ind w:left="0" w:firstLine="540"/>
        <w:jc w:val="both"/>
        <w:rPr/>
      </w:pPr>
      <w:r>
        <w:rPr/>
        <w:t>3. Министерству внутренних дел Российской Федерации:</w:t>
      </w:r>
    </w:p>
    <w:p>
      <w:pPr>
        <w:pStyle w:val="ConsPlusNormal"/>
        <w:spacing w:before="240" w:after="0"/>
        <w:ind w:left="0" w:firstLine="540"/>
        <w:jc w:val="both"/>
        <w:rPr/>
      </w:pPr>
      <w:r>
        <w:rPr/>
        <w:t>разработать в 2-месячный срок типовую программу подготовки работников ведомственной охраны федеральных органов исполнительной власти к действиям в условиях, связанных с применением служебного огнестрельного и боевого оружия, специальных средств и физической силы, а также определить порядок проведения органами внутренних дел проверки указанных работников на пригодность к выполнению соответствующих действий;</w:t>
      </w:r>
    </w:p>
    <w:p>
      <w:pPr>
        <w:pStyle w:val="ConsPlusNormal"/>
        <w:spacing w:before="240" w:after="0"/>
        <w:ind w:left="0" w:firstLine="540"/>
        <w:jc w:val="both"/>
        <w:rPr/>
      </w:pPr>
      <w:r>
        <w:rPr/>
        <w:t>утвердить в 3-месячный срок порядок проведения инвентаризации и проверки условий хранения боевого оружия;</w:t>
      </w:r>
    </w:p>
    <w:p>
      <w:pPr>
        <w:pStyle w:val="ConsPlusNormal"/>
        <w:spacing w:before="240" w:after="0"/>
        <w:ind w:left="0" w:firstLine="540"/>
        <w:jc w:val="both"/>
        <w:rPr/>
      </w:pPr>
      <w:r>
        <w:rPr/>
        <w:t>абзац утратил силу. - Постановление Правительства РФ от 23.09.2024 N 1284.</w:t>
      </w:r>
    </w:p>
    <w:p>
      <w:pPr>
        <w:pStyle w:val="ConsPlusNormal"/>
        <w:spacing w:before="240" w:after="0"/>
        <w:ind w:left="0" w:firstLine="540"/>
        <w:jc w:val="both"/>
        <w:rPr/>
      </w:pPr>
      <w:r>
        <w:rPr/>
        <w:t>4. Утратил силу. - Постановление Правительства РФ от 23.09.2024 N 1284.</w:t>
      </w:r>
    </w:p>
    <w:p>
      <w:pPr>
        <w:pStyle w:val="ConsPlusNormal"/>
        <w:ind w:left="0" w:hanging="0"/>
        <w:jc w:val="left"/>
        <w:rPr/>
      </w:pPr>
      <w:r>
        <w:rPr/>
      </w:r>
    </w:p>
    <w:p>
      <w:pPr>
        <w:pStyle w:val="ConsPlusNormal"/>
        <w:ind w:left="0" w:hanging="0"/>
        <w:jc w:val="right"/>
        <w:rPr/>
      </w:pPr>
      <w:r>
        <w:rPr/>
        <w:t>Председатель Правительства</w:t>
      </w:r>
    </w:p>
    <w:p>
      <w:pPr>
        <w:pStyle w:val="ConsPlusNormal"/>
        <w:ind w:left="0" w:hanging="0"/>
        <w:jc w:val="right"/>
        <w:rPr/>
      </w:pPr>
      <w:r>
        <w:rPr/>
        <w:t>Российской Федерации</w:t>
      </w:r>
    </w:p>
    <w:p>
      <w:pPr>
        <w:pStyle w:val="ConsPlusNormal"/>
        <w:ind w:left="0" w:hanging="0"/>
        <w:jc w:val="right"/>
        <w:rPr/>
      </w:pPr>
      <w:r>
        <w:rPr/>
        <w:t>В.ПУТИН</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Утвержден</w:t>
      </w:r>
    </w:p>
    <w:p>
      <w:pPr>
        <w:pStyle w:val="ConsPlusNormal"/>
        <w:ind w:left="0" w:hanging="0"/>
        <w:jc w:val="right"/>
        <w:rPr/>
      </w:pPr>
      <w:r>
        <w:rPr/>
        <w:t>Постановлением Правительства</w:t>
      </w:r>
    </w:p>
    <w:p>
      <w:pPr>
        <w:pStyle w:val="ConsPlusNormal"/>
        <w:ind w:left="0" w:hanging="0"/>
        <w:jc w:val="right"/>
        <w:rPr/>
      </w:pPr>
      <w:r>
        <w:rPr/>
        <w:t>Российской Федерации</w:t>
      </w:r>
    </w:p>
    <w:p>
      <w:pPr>
        <w:pStyle w:val="ConsPlusNormal"/>
        <w:ind w:left="0" w:hanging="0"/>
        <w:jc w:val="right"/>
        <w:rPr/>
      </w:pPr>
      <w:r>
        <w:rPr/>
        <w:t>от 30 декабря 1999 г. N 1436</w:t>
      </w:r>
    </w:p>
    <w:p>
      <w:pPr>
        <w:pStyle w:val="ConsPlusNormal"/>
        <w:ind w:left="0" w:hanging="0"/>
        <w:jc w:val="left"/>
        <w:rPr/>
      </w:pPr>
      <w:r>
        <w:rPr/>
      </w:r>
    </w:p>
    <w:p>
      <w:pPr>
        <w:pStyle w:val="ConsPlusTitle"/>
        <w:ind w:left="0" w:hanging="0"/>
        <w:jc w:val="center"/>
        <w:rPr/>
      </w:pPr>
      <w:bookmarkStart w:id="0" w:name="Par47"/>
      <w:bookmarkEnd w:id="0"/>
      <w:r>
        <w:rPr/>
        <w:t>ПЕРЕЧЕНЬ</w:t>
      </w:r>
    </w:p>
    <w:p>
      <w:pPr>
        <w:pStyle w:val="ConsPlusTitle"/>
        <w:ind w:left="0" w:hanging="0"/>
        <w:jc w:val="center"/>
        <w:rPr/>
      </w:pPr>
      <w:r>
        <w:rPr/>
        <w:t>СПЕЦИАЛЬНЫХ СРЕДСТВ, ВИДОВ, ТИПОВ И МОДЕЛЕЙ</w:t>
      </w:r>
    </w:p>
    <w:p>
      <w:pPr>
        <w:pStyle w:val="ConsPlusTitle"/>
        <w:ind w:left="0" w:hanging="0"/>
        <w:jc w:val="center"/>
        <w:rPr/>
      </w:pPr>
      <w:r>
        <w:rPr/>
        <w:t>СЛУЖЕБНОГО ОГНЕСТРЕЛЬНОГО ОРУЖИЯ, ПАТРОНОВ К НЕМУ И НОРМЫ</w:t>
      </w:r>
    </w:p>
    <w:p>
      <w:pPr>
        <w:pStyle w:val="ConsPlusTitle"/>
        <w:ind w:left="0" w:hanging="0"/>
        <w:jc w:val="center"/>
        <w:rPr/>
      </w:pPr>
      <w:r>
        <w:rPr/>
        <w:t>ОБЕСПЕЧЕНИЯ ИМИ РАБОТНИКОВ ВЕДОМСТВЕННОЙ ОХРАНЫ ФЕДЕРАЛЬНЫХ</w:t>
      </w:r>
    </w:p>
    <w:p>
      <w:pPr>
        <w:pStyle w:val="ConsPlusTitle"/>
        <w:ind w:left="0" w:hanging="0"/>
        <w:jc w:val="center"/>
        <w:rPr/>
      </w:pPr>
      <w:r>
        <w:rPr/>
        <w:t>ГОСУДАРСТВЕННЫХ ОРГАНОВ, ФЕДЕРАЛЬНЫХ ОРГАНОВ ИСПОЛНИТЕЛЬНОЙ</w:t>
      </w:r>
    </w:p>
    <w:p>
      <w:pPr>
        <w:pStyle w:val="ConsPlusTitle"/>
        <w:ind w:left="0" w:hanging="0"/>
        <w:jc w:val="center"/>
        <w:rPr/>
      </w:pPr>
      <w:r>
        <w:rPr/>
        <w:t>ВЛАСТИ, ВЫСШЕГО ИСПОЛНИТЕЛЬНОГО ОРГАНА СУБЪЕКТА РОССИЙСКОЙ</w:t>
      </w:r>
    </w:p>
    <w:p>
      <w:pPr>
        <w:pStyle w:val="ConsPlusTitle"/>
        <w:ind w:left="0" w:hanging="0"/>
        <w:jc w:val="center"/>
        <w:rPr/>
      </w:pPr>
      <w:r>
        <w:rPr/>
        <w:t>ФЕДЕРАЦИИ - ГОРОДА ФЕДЕРАЛЬНОГО ЗНАЧЕНИЯ МОСКВЫ,</w:t>
      </w:r>
    </w:p>
    <w:p>
      <w:pPr>
        <w:pStyle w:val="ConsPlusTitle"/>
        <w:ind w:left="0" w:hanging="0"/>
        <w:jc w:val="center"/>
        <w:rPr/>
      </w:pPr>
      <w:r>
        <w:rPr/>
        <w:t>ОРГАНИЗАЦИЙ, ИМЕЮЩИХ В СООТВЕТСТВИИ С ЗАКОНОДАТЕЛЬСТВОМ</w:t>
      </w:r>
    </w:p>
    <w:p>
      <w:pPr>
        <w:pStyle w:val="ConsPlusTitle"/>
        <w:ind w:left="0" w:hanging="0"/>
        <w:jc w:val="center"/>
        <w:rPr/>
      </w:pPr>
      <w:r>
        <w:rPr/>
        <w:t>РОССИЙСКОЙ ФЕДЕРАЦИИ ПРАВО НА СОЗДАНИЕ ВЕДОМСТВЕННОЙ ОХРАНЫ</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b w:val="false"/>
                <w:b w:val="false"/>
              </w:rPr>
            </w:pPr>
            <w:r>
              <w:rPr>
                <w:b w:val="false"/>
              </w:rPr>
            </w:r>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Постановлений Правительства РФ от 10.07.2014 N 644,</w:t>
            </w:r>
          </w:p>
          <w:p>
            <w:pPr>
              <w:pStyle w:val="ConsPlusNormal"/>
              <w:tabs>
                <w:tab w:val="clear" w:pos="720"/>
              </w:tabs>
              <w:ind w:left="0" w:hanging="0"/>
              <w:jc w:val="center"/>
              <w:rPr>
                <w:b w:val="false"/>
                <w:b w:val="false"/>
              </w:rPr>
            </w:pPr>
            <w:r>
              <w:rPr>
                <w:color w:val="392C69"/>
              </w:rPr>
              <w:t>от 18.01.2018 N 17, от 06.05.2023 N 712, от 08.12.2023 N 2080,</w:t>
            </w:r>
          </w:p>
          <w:p>
            <w:pPr>
              <w:pStyle w:val="ConsPlusNormal"/>
              <w:tabs>
                <w:tab w:val="clear" w:pos="720"/>
              </w:tabs>
              <w:ind w:left="0" w:hanging="0"/>
              <w:jc w:val="center"/>
              <w:rPr>
                <w:b w:val="false"/>
                <w:b w:val="false"/>
              </w:rPr>
            </w:pPr>
            <w:r>
              <w:rPr>
                <w:color w:val="392C69"/>
              </w:rPr>
              <w:t>от 23.09.2024 N 1284)</w:t>
            </w:r>
          </w:p>
        </w:tc>
        <w:tc>
          <w:tcPr>
            <w:tcW w:w="113" w:type="dxa"/>
            <w:tcBorders/>
            <w:shd w:color="auto" w:fill="F4F3F8"/>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left"/>
        <w:rPr/>
      </w:pPr>
      <w:r>
        <w:rPr/>
      </w:r>
    </w:p>
    <w:p>
      <w:pPr>
        <w:pStyle w:val="ConsPlusTitle"/>
        <w:ind w:left="0" w:hanging="0"/>
        <w:jc w:val="center"/>
        <w:rPr/>
      </w:pPr>
      <w:r>
        <w:rPr/>
        <w:t>I. Специальные средства, виды, типы и модели</w:t>
      </w:r>
    </w:p>
    <w:p>
      <w:pPr>
        <w:pStyle w:val="ConsPlusTitle"/>
        <w:ind w:left="0" w:hanging="0"/>
        <w:jc w:val="center"/>
        <w:rPr/>
      </w:pPr>
      <w:r>
        <w:rPr/>
        <w:t>служебного огнестрельного оружия</w:t>
      </w:r>
    </w:p>
    <w:p>
      <w:pPr>
        <w:pStyle w:val="ConsPlusNormal"/>
        <w:ind w:left="0" w:hanging="0"/>
        <w:jc w:val="left"/>
        <w:rPr/>
      </w:pPr>
      <w:r>
        <w:rPr/>
      </w:r>
    </w:p>
    <w:p>
      <w:pPr>
        <w:pStyle w:val="ConsPlusNormal"/>
        <w:ind w:left="0" w:firstLine="540"/>
        <w:jc w:val="both"/>
        <w:rPr/>
      </w:pPr>
      <w:r>
        <w:rPr/>
        <w:t>1. Механические распылители, аэрозольные и другие устройства, снаряженные слезоточивыми или раздражающими веществами, разрешенными к применению гражданами в целях самообороны.</w:t>
      </w:r>
    </w:p>
    <w:p>
      <w:pPr>
        <w:pStyle w:val="ConsPlusNormal"/>
        <w:spacing w:before="240" w:after="0"/>
        <w:ind w:left="0" w:firstLine="540"/>
        <w:jc w:val="both"/>
        <w:rPr/>
      </w:pPr>
      <w:r>
        <w:rPr/>
        <w:t>2. Палки резиновые российского производства.</w:t>
      </w:r>
    </w:p>
    <w:p>
      <w:pPr>
        <w:pStyle w:val="ConsPlusNormal"/>
        <w:ind w:left="0" w:hanging="0"/>
        <w:jc w:val="both"/>
        <w:rPr/>
      </w:pPr>
      <w:r>
        <w:rPr/>
        <w:t>(в ред. Постановлений Правительства РФ от 10.07.2014 N 644, от 23.09.2024 N 1284)</w:t>
      </w:r>
    </w:p>
    <w:p>
      <w:pPr>
        <w:pStyle w:val="ConsPlusNormal"/>
        <w:spacing w:before="240" w:after="0"/>
        <w:ind w:left="0" w:firstLine="540"/>
        <w:jc w:val="both"/>
        <w:rPr/>
      </w:pPr>
      <w:r>
        <w:rPr/>
        <w:t>3. Наручники российского производства.</w:t>
      </w:r>
    </w:p>
    <w:p>
      <w:pPr>
        <w:pStyle w:val="ConsPlusNormal"/>
        <w:ind w:left="0" w:hanging="0"/>
        <w:jc w:val="both"/>
        <w:rPr/>
      </w:pPr>
      <w:r>
        <w:rPr/>
        <w:t>(в ред. Постановлений Правительства РФ от 10.07.2014 N 644, от 23.09.2024 N 1284)</w:t>
      </w:r>
    </w:p>
    <w:p>
      <w:pPr>
        <w:pStyle w:val="ConsPlusNormal"/>
        <w:spacing w:before="240" w:after="0"/>
        <w:ind w:left="0" w:firstLine="540"/>
        <w:jc w:val="both"/>
        <w:rPr/>
      </w:pPr>
      <w:r>
        <w:rPr/>
        <w:t>4. Средства принудительной остановки транспорта российского производства.</w:t>
      </w:r>
    </w:p>
    <w:p>
      <w:pPr>
        <w:pStyle w:val="ConsPlusNormal"/>
        <w:ind w:left="0" w:hanging="0"/>
        <w:jc w:val="both"/>
        <w:rPr/>
      </w:pPr>
      <w:r>
        <w:rPr/>
        <w:t>(в ред. Постановлений Правительства РФ от 10.07.2014 N 644, от 23.09.2024 N 1284)</w:t>
      </w:r>
    </w:p>
    <w:p>
      <w:pPr>
        <w:pStyle w:val="ConsPlusNormal"/>
        <w:spacing w:before="240" w:after="0"/>
        <w:ind w:left="0" w:firstLine="540"/>
        <w:jc w:val="both"/>
        <w:rPr/>
      </w:pPr>
      <w:r>
        <w:rPr/>
        <w:t>5. Бронежилеты, защитные каски и иные средства индивидуальной защиты, которые не подлежат ограничению в приобретении и использовании гражданами и организациями.</w:t>
      </w:r>
    </w:p>
    <w:p>
      <w:pPr>
        <w:pStyle w:val="ConsPlusNormal"/>
        <w:spacing w:before="240" w:after="0"/>
        <w:ind w:left="0" w:firstLine="540"/>
        <w:jc w:val="both"/>
        <w:rPr/>
      </w:pPr>
      <w:bookmarkStart w:id="1" w:name="Par72"/>
      <w:bookmarkEnd w:id="1"/>
      <w:r>
        <w:rPr/>
        <w:t>6. Сертифицированное в установленном порядке служебное огнестрельное нарезное короткоствольное оружие российского производства и патроны к нему.</w:t>
      </w:r>
    </w:p>
    <w:p>
      <w:pPr>
        <w:pStyle w:val="ConsPlusNormal"/>
        <w:ind w:left="0" w:hanging="0"/>
        <w:jc w:val="both"/>
        <w:rPr/>
      </w:pPr>
      <w:r>
        <w:rPr/>
        <w:t>(п. 6 в ред. Постановления Правительства РФ от 23.09.2024 N 1284)</w:t>
      </w:r>
    </w:p>
    <w:p>
      <w:pPr>
        <w:pStyle w:val="ConsPlusNormal"/>
        <w:spacing w:before="240" w:after="0"/>
        <w:ind w:left="0" w:firstLine="540"/>
        <w:jc w:val="both"/>
        <w:rPr/>
      </w:pPr>
      <w:r>
        <w:rPr/>
        <w:t>7. Огнестрельное гладкоствольное длинноствольное оружие калибров 12/70, 12/76, 16/70, 16/76, 20/70, 20/76, 410/76, разрешенное к обороту на территории Российской Федерации, и патроны к нему, прошедшие обязательное подтверждение соответствия, предусмотренное статьей 7 Федерального закона "Об оружии".</w:t>
      </w:r>
    </w:p>
    <w:p>
      <w:pPr>
        <w:pStyle w:val="ConsPlusNormal"/>
        <w:ind w:left="0" w:hanging="0"/>
        <w:jc w:val="both"/>
        <w:rPr/>
      </w:pPr>
      <w:r>
        <w:rPr/>
        <w:t>(в ред. Постановления Правительства РФ от 23.09.2024 N 1284)</w:t>
      </w:r>
    </w:p>
    <w:p>
      <w:pPr>
        <w:pStyle w:val="ConsPlusNormal"/>
        <w:spacing w:before="240" w:after="0"/>
        <w:ind w:left="0" w:firstLine="540"/>
        <w:jc w:val="both"/>
        <w:rPr/>
      </w:pPr>
      <w:r>
        <w:rPr/>
        <w:t>8. Электрошоковые устройства российского производства, имеющие выходные параметры, соответствующие требованиям государственных стандартов Российской Федерации и нормам Минздрава России для гражданского оружия самообороны, огнестрельное оружие ограниченного поражения российского производства, сертифицированное в установленном порядке в качестве служебного оружия (далее - огнестрельное оружие ограниченного поражения), и патроны к нему.</w:t>
      </w:r>
    </w:p>
    <w:p>
      <w:pPr>
        <w:pStyle w:val="ConsPlusNormal"/>
        <w:ind w:left="0" w:hanging="0"/>
        <w:jc w:val="both"/>
        <w:rPr/>
      </w:pPr>
      <w:r>
        <w:rPr/>
        <w:t>(в ред. Постановления Правительства РФ от 23.09.2024 N 1284)</w:t>
      </w:r>
    </w:p>
    <w:p>
      <w:pPr>
        <w:pStyle w:val="ConsPlusNormal"/>
        <w:spacing w:before="240" w:after="0"/>
        <w:ind w:left="0" w:firstLine="540"/>
        <w:jc w:val="both"/>
        <w:rPr/>
      </w:pPr>
      <w:r>
        <w:rPr/>
        <w:t>9. Служебные собаки.</w:t>
      </w:r>
    </w:p>
    <w:p>
      <w:pPr>
        <w:pStyle w:val="ConsPlusNormal"/>
        <w:ind w:left="0" w:hanging="0"/>
        <w:jc w:val="both"/>
        <w:rPr/>
      </w:pPr>
      <w:r>
        <w:rPr/>
        <w:t>(п. 9 введен Постановлением Правительства РФ от 10.07.2014 N 644)</w:t>
      </w:r>
    </w:p>
    <w:p>
      <w:pPr>
        <w:pStyle w:val="ConsPlusNormal"/>
        <w:spacing w:before="240" w:after="0"/>
        <w:ind w:left="0" w:firstLine="540"/>
        <w:jc w:val="both"/>
        <w:rPr/>
      </w:pPr>
      <w:r>
        <w:rPr/>
        <w:t>10. Специальные технические средства противодействия беспилотным воздушным, подводным и надводным судам и аппаратам, беспилотным транспортным средствам и иным автоматизированным беспилотным комплексам.</w:t>
      </w:r>
    </w:p>
    <w:p>
      <w:pPr>
        <w:pStyle w:val="ConsPlusNormal"/>
        <w:ind w:left="0" w:hanging="0"/>
        <w:jc w:val="both"/>
        <w:rPr/>
      </w:pPr>
      <w:r>
        <w:rPr/>
        <w:t>(п. 10 в ред. Постановления Правительства РФ от 08.12.2023 N 2080)</w:t>
      </w:r>
    </w:p>
    <w:p>
      <w:pPr>
        <w:pStyle w:val="ConsPlusNormal"/>
        <w:spacing w:before="240" w:after="0"/>
        <w:ind w:left="0" w:firstLine="540"/>
        <w:jc w:val="both"/>
        <w:rPr/>
      </w:pPr>
      <w:r>
        <w:rPr/>
        <w:t xml:space="preserve">11. Учебные образцы оружия, указанного в </w:t>
      </w:r>
      <w:hyperlink w:anchor="Par72" w:tgtFrame="6. Сертифицированное в установленном порядке служебное огнестрельное нарезное короткоствольное оружие российского производства и патроны к нему.">
        <w:r>
          <w:rPr>
            <w:color w:val="0000FF"/>
          </w:rPr>
          <w:t>пункте 6</w:t>
        </w:r>
      </w:hyperlink>
      <w:r>
        <w:rPr/>
        <w:t xml:space="preserve"> настоящего перечня, и учебные патроны к нему.</w:t>
      </w:r>
    </w:p>
    <w:p>
      <w:pPr>
        <w:pStyle w:val="ConsPlusNormal"/>
        <w:ind w:left="0" w:hanging="0"/>
        <w:jc w:val="both"/>
        <w:rPr/>
      </w:pPr>
      <w:r>
        <w:rPr/>
        <w:t>(п. 11 введен Постановлением Правительства РФ от 23.09.2024 N 1284)</w:t>
      </w:r>
    </w:p>
    <w:p>
      <w:pPr>
        <w:pStyle w:val="ConsPlusNormal"/>
        <w:ind w:left="0" w:hanging="0"/>
        <w:jc w:val="left"/>
        <w:rPr/>
      </w:pPr>
      <w:r>
        <w:rPr/>
      </w:r>
    </w:p>
    <w:p>
      <w:pPr>
        <w:pStyle w:val="ConsPlusTitle"/>
        <w:ind w:left="0" w:hanging="0"/>
        <w:jc w:val="center"/>
        <w:rPr/>
      </w:pPr>
      <w:r>
        <w:rPr/>
        <w:t>II. Нормы обеспечения специальными средствами, видами,</w:t>
      </w:r>
    </w:p>
    <w:p>
      <w:pPr>
        <w:pStyle w:val="ConsPlusTitle"/>
        <w:ind w:left="0" w:hanging="0"/>
        <w:jc w:val="center"/>
        <w:rPr/>
      </w:pPr>
      <w:r>
        <w:rPr/>
        <w:t>типами и моделями служебного огнестрельного оружия,</w:t>
      </w:r>
    </w:p>
    <w:p>
      <w:pPr>
        <w:pStyle w:val="ConsPlusTitle"/>
        <w:ind w:left="0" w:hanging="0"/>
        <w:jc w:val="center"/>
        <w:rPr/>
      </w:pPr>
      <w:r>
        <w:rPr/>
        <w:t>патронами к нему</w:t>
      </w:r>
    </w:p>
    <w:p>
      <w:pPr>
        <w:pStyle w:val="ConsPlusNormal"/>
        <w:ind w:left="0" w:hanging="0"/>
        <w:jc w:val="left"/>
        <w:rPr/>
      </w:pPr>
      <w:r>
        <w:rPr/>
      </w:r>
    </w:p>
    <w:p>
      <w:pPr>
        <w:pStyle w:val="ConsPlusNormal"/>
        <w:ind w:left="0" w:firstLine="540"/>
        <w:jc w:val="both"/>
        <w:rPr/>
      </w:pPr>
      <w:r>
        <w:rPr/>
        <w:t>1. Специальные средства и индивидуальные средства защиты:</w:t>
      </w:r>
    </w:p>
    <w:p>
      <w:pPr>
        <w:pStyle w:val="ConsPlusNormal"/>
        <w:spacing w:before="240" w:after="0"/>
        <w:ind w:left="0" w:firstLine="540"/>
        <w:jc w:val="both"/>
        <w:rPr/>
      </w:pPr>
      <w:r>
        <w:rPr/>
        <w:t>механические распылители и другие устройства, снаряженные слезоточивыми или раздражающими веществами, электрошоковые устройства, служебные собаки и специальные технические средства противодействия беспилотным воздушным, подводным и надводным судам и аппаратам, беспилотным транспортным средствам и иным автоматизированным беспилотным комплексам приобретаются из расчета, позволяющего обеспечить безопасность объекта;</w:t>
      </w:r>
    </w:p>
    <w:p>
      <w:pPr>
        <w:pStyle w:val="ConsPlusNormal"/>
        <w:spacing w:before="240" w:after="0"/>
        <w:ind w:left="0" w:firstLine="540"/>
        <w:jc w:val="both"/>
        <w:rPr/>
      </w:pPr>
      <w:r>
        <w:rPr/>
        <w:t>палки резиновые российского производства, наручники российского производства, бронежилеты, защитные каски и иные средства индивидуальной защиты, а также другие индивидуальные средства защиты приобретаются из расчета обеспечения работников не менее одной суточной смены (караула), группы по охране грузов, группы сопровождения грузов;</w:t>
      </w:r>
    </w:p>
    <w:p>
      <w:pPr>
        <w:pStyle w:val="ConsPlusNormal"/>
        <w:spacing w:before="240" w:after="0"/>
        <w:ind w:left="0" w:firstLine="540"/>
        <w:jc w:val="both"/>
        <w:rPr/>
      </w:pPr>
      <w:r>
        <w:rPr/>
        <w:t>средства принудительной остановки транспорта российского производства приобретаются из расчета на каждый пост, на котором работники ведомственной охраны осуществляют пропускной режим транспорта.</w:t>
      </w:r>
    </w:p>
    <w:p>
      <w:pPr>
        <w:pStyle w:val="ConsPlusNormal"/>
        <w:ind w:left="0" w:hanging="0"/>
        <w:jc w:val="both"/>
        <w:rPr/>
      </w:pPr>
      <w:r>
        <w:rPr/>
        <w:t>(п. 1 в ред. Постановления Правительства РФ от 23.09.2024 N 1284)</w:t>
      </w:r>
    </w:p>
    <w:p>
      <w:pPr>
        <w:pStyle w:val="ConsPlusNormal"/>
        <w:spacing w:before="240" w:after="0"/>
        <w:ind w:left="0" w:firstLine="540"/>
        <w:jc w:val="both"/>
        <w:rPr/>
      </w:pPr>
      <w:r>
        <w:rPr/>
        <w:t>2. Служебное огнестрельное оружие:</w:t>
      </w:r>
    </w:p>
    <w:p>
      <w:pPr>
        <w:pStyle w:val="ConsPlusNormal"/>
        <w:spacing w:before="240" w:after="0"/>
        <w:ind w:left="0" w:firstLine="540"/>
        <w:jc w:val="both"/>
        <w:rPr/>
      </w:pPr>
      <w:r>
        <w:rPr/>
        <w:t>огнестрельное оружие ограниченного поражения приобретается из расчета 2 единицы оружия на одного работника суточной смены (караула) и 1 единица оружия на одного работника группы по охране грузов, группы сопровождения грузов;</w:t>
      </w:r>
    </w:p>
    <w:p>
      <w:pPr>
        <w:pStyle w:val="ConsPlusNormal"/>
        <w:ind w:left="0" w:hanging="0"/>
        <w:jc w:val="both"/>
        <w:rPr/>
      </w:pPr>
      <w:r>
        <w:rPr/>
        <w:t>(в ред. Постановления Правительства РФ от 23.09.2024 N 1284)</w:t>
      </w:r>
    </w:p>
    <w:p>
      <w:pPr>
        <w:pStyle w:val="ConsPlusNormal"/>
        <w:spacing w:before="240" w:after="0"/>
        <w:ind w:left="0" w:firstLine="540"/>
        <w:jc w:val="both"/>
        <w:rPr/>
      </w:pPr>
      <w:r>
        <w:rPr/>
        <w:t>учебные образцы оружия приобретаются при необходимости из расчета 1 единица учебного образца оружия на 15 единиц соответствующего служебного огнестрельного оружия;</w:t>
      </w:r>
    </w:p>
    <w:p>
      <w:pPr>
        <w:pStyle w:val="ConsPlusNormal"/>
        <w:ind w:left="0" w:hanging="0"/>
        <w:jc w:val="both"/>
        <w:rPr/>
      </w:pPr>
      <w:r>
        <w:rPr/>
        <w:t>(абзац введен Постановлением Правительства РФ от 23.09.2024 N 1284)</w:t>
      </w:r>
    </w:p>
    <w:p>
      <w:pPr>
        <w:pStyle w:val="ConsPlusNormal"/>
        <w:spacing w:before="240" w:after="0"/>
        <w:ind w:left="0" w:firstLine="540"/>
        <w:jc w:val="both"/>
        <w:rPr/>
      </w:pPr>
      <w:r>
        <w:rPr/>
        <w:t>нормы учебных патронов формируются ведомственной охраной из расчета 1 снаряженный магазин (обойма) на каждую единицу учебного образца оружия;</w:t>
      </w:r>
    </w:p>
    <w:p>
      <w:pPr>
        <w:pStyle w:val="ConsPlusNormal"/>
        <w:ind w:left="0" w:hanging="0"/>
        <w:jc w:val="both"/>
        <w:rPr/>
      </w:pPr>
      <w:r>
        <w:rPr/>
        <w:t>(абзац введен Постановлением Правительства РФ от 23.09.2024 N 1284)</w:t>
      </w:r>
    </w:p>
    <w:p>
      <w:pPr>
        <w:pStyle w:val="ConsPlusNormal"/>
        <w:spacing w:before="240" w:after="0"/>
        <w:ind w:left="0" w:firstLine="540"/>
        <w:jc w:val="both"/>
        <w:rPr/>
      </w:pPr>
      <w:r>
        <w:rPr/>
        <w:t>пистолеты и револьверы (за исключением огнестрельного оружия ограниченного поражения) и длинноствольное гладкоствольное оружие приобретаются по следующим нормам:</w:t>
      </w:r>
    </w:p>
    <w:p>
      <w:pPr>
        <w:pStyle w:val="ConsPlusNormal"/>
        <w:ind w:left="0" w:hanging="0"/>
        <w:jc w:val="both"/>
        <w:rPr/>
      </w:pPr>
      <w:r>
        <w:rPr/>
        <w:t>(в ред. Постановления Правительства РФ от 10.07.2014 N 644)</w:t>
      </w:r>
    </w:p>
    <w:p>
      <w:pPr>
        <w:pStyle w:val="ConsPlusNormal"/>
        <w:ind w:left="0" w:hanging="0"/>
        <w:jc w:val="left"/>
        <w:rPr/>
      </w:pPr>
      <w:r>
        <w:rPr/>
      </w:r>
    </w:p>
    <w:tbl>
      <w:tblPr>
        <w:tblW w:w="9076" w:type="dxa"/>
        <w:jc w:val="left"/>
        <w:tblInd w:w="62" w:type="dxa"/>
        <w:tblCellMar>
          <w:top w:w="102" w:type="dxa"/>
          <w:left w:w="62" w:type="dxa"/>
          <w:bottom w:w="102" w:type="dxa"/>
          <w:right w:w="62" w:type="dxa"/>
        </w:tblCellMar>
      </w:tblPr>
      <w:tblGrid>
        <w:gridCol w:w="5272"/>
        <w:gridCol w:w="1650"/>
        <w:gridCol w:w="2154"/>
      </w:tblGrid>
      <w:tr>
        <w:trPr/>
        <w:tc>
          <w:tcPr>
            <w:tcW w:w="527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Наименование должности работника ведомственной охраны</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Пистолет, револьвер (штук)</w:t>
            </w:r>
          </w:p>
        </w:tc>
        <w:tc>
          <w:tcPr>
            <w:tcW w:w="2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Длинноствольное гладкоствольное оружие (штук)</w:t>
            </w:r>
          </w:p>
        </w:tc>
      </w:tr>
      <w:tr>
        <w:trPr/>
        <w:tc>
          <w:tcPr>
            <w:tcW w:w="5272" w:type="dxa"/>
            <w:tcBorders>
              <w:top w:val="single" w:sz="4" w:space="0" w:color="000000"/>
            </w:tcBorders>
          </w:tcPr>
          <w:p>
            <w:pPr>
              <w:pStyle w:val="ConsPlusNormal"/>
              <w:tabs>
                <w:tab w:val="clear" w:pos="720"/>
              </w:tabs>
              <w:ind w:left="0" w:hanging="0"/>
              <w:jc w:val="left"/>
              <w:rPr>
                <w:b w:val="false"/>
                <w:b w:val="false"/>
              </w:rPr>
            </w:pPr>
            <w:r>
              <w:rPr/>
              <w:t>Начальник (заместитель начальника) ведомственной охраны</w:t>
            </w:r>
          </w:p>
        </w:tc>
        <w:tc>
          <w:tcPr>
            <w:tcW w:w="1650" w:type="dxa"/>
            <w:tcBorders>
              <w:top w:val="single" w:sz="4" w:space="0" w:color="000000"/>
            </w:tcBorders>
          </w:tcPr>
          <w:p>
            <w:pPr>
              <w:pStyle w:val="ConsPlusNormal"/>
              <w:tabs>
                <w:tab w:val="clear" w:pos="720"/>
              </w:tabs>
              <w:ind w:left="0" w:hanging="0"/>
              <w:jc w:val="center"/>
              <w:rPr>
                <w:b w:val="false"/>
                <w:b w:val="false"/>
              </w:rPr>
            </w:pPr>
            <w:r>
              <w:rPr/>
              <w:t>1</w:t>
            </w:r>
          </w:p>
        </w:tc>
        <w:tc>
          <w:tcPr>
            <w:tcW w:w="2154" w:type="dxa"/>
            <w:tcBorders>
              <w:top w:val="single" w:sz="4" w:space="0" w:color="000000"/>
            </w:tcBorders>
          </w:tcPr>
          <w:p>
            <w:pPr>
              <w:pStyle w:val="ConsPlusNormal"/>
              <w:tabs>
                <w:tab w:val="clear" w:pos="720"/>
              </w:tabs>
              <w:ind w:left="0" w:hanging="0"/>
              <w:jc w:val="center"/>
              <w:rPr>
                <w:b w:val="false"/>
                <w:b w:val="false"/>
              </w:rPr>
            </w:pPr>
            <w:r>
              <w:rPr/>
              <w:t>-</w:t>
            </w:r>
          </w:p>
        </w:tc>
      </w:tr>
      <w:tr>
        <w:trPr/>
        <w:tc>
          <w:tcPr>
            <w:tcW w:w="5272" w:type="dxa"/>
            <w:tcBorders/>
          </w:tcPr>
          <w:p>
            <w:pPr>
              <w:pStyle w:val="ConsPlusNormal"/>
              <w:tabs>
                <w:tab w:val="clear" w:pos="720"/>
              </w:tabs>
              <w:ind w:left="0" w:hanging="0"/>
              <w:jc w:val="left"/>
              <w:rPr>
                <w:b w:val="false"/>
                <w:b w:val="false"/>
              </w:rPr>
            </w:pPr>
            <w:r>
              <w:rPr/>
              <w:t>Начальник (заместитель начальника) регионального и территориального подразделения ведомственной охраны</w:t>
            </w:r>
          </w:p>
        </w:tc>
        <w:tc>
          <w:tcPr>
            <w:tcW w:w="1650" w:type="dxa"/>
            <w:tcBorders/>
          </w:tcPr>
          <w:p>
            <w:pPr>
              <w:pStyle w:val="ConsPlusNormal"/>
              <w:tabs>
                <w:tab w:val="clear" w:pos="720"/>
              </w:tabs>
              <w:ind w:left="0" w:hanging="0"/>
              <w:jc w:val="center"/>
              <w:rPr>
                <w:b w:val="false"/>
                <w:b w:val="false"/>
              </w:rPr>
            </w:pPr>
            <w:r>
              <w:rPr/>
              <w:t>1</w:t>
            </w:r>
          </w:p>
        </w:tc>
        <w:tc>
          <w:tcPr>
            <w:tcW w:w="2154" w:type="dxa"/>
            <w:tcBorders/>
          </w:tcPr>
          <w:p>
            <w:pPr>
              <w:pStyle w:val="ConsPlusNormal"/>
              <w:tabs>
                <w:tab w:val="clear" w:pos="720"/>
              </w:tabs>
              <w:ind w:left="0" w:hanging="0"/>
              <w:jc w:val="center"/>
              <w:rPr>
                <w:b w:val="false"/>
                <w:b w:val="false"/>
              </w:rPr>
            </w:pPr>
            <w:r>
              <w:rPr/>
              <w:t>-</w:t>
            </w:r>
          </w:p>
        </w:tc>
      </w:tr>
      <w:tr>
        <w:trPr/>
        <w:tc>
          <w:tcPr>
            <w:tcW w:w="5272" w:type="dxa"/>
            <w:tcBorders/>
          </w:tcPr>
          <w:p>
            <w:pPr>
              <w:pStyle w:val="ConsPlusNormal"/>
              <w:tabs>
                <w:tab w:val="clear" w:pos="720"/>
              </w:tabs>
              <w:ind w:left="0" w:hanging="0"/>
              <w:jc w:val="left"/>
              <w:rPr>
                <w:b w:val="false"/>
                <w:b w:val="false"/>
              </w:rPr>
            </w:pPr>
            <w:r>
              <w:rPr/>
              <w:t>Начальник смены (отдела, караула), заместитель начальника</w:t>
            </w:r>
          </w:p>
        </w:tc>
        <w:tc>
          <w:tcPr>
            <w:tcW w:w="1650" w:type="dxa"/>
            <w:tcBorders/>
          </w:tcPr>
          <w:p>
            <w:pPr>
              <w:pStyle w:val="ConsPlusNormal"/>
              <w:tabs>
                <w:tab w:val="clear" w:pos="720"/>
              </w:tabs>
              <w:ind w:left="0" w:hanging="0"/>
              <w:jc w:val="center"/>
              <w:rPr>
                <w:b w:val="false"/>
                <w:b w:val="false"/>
              </w:rPr>
            </w:pPr>
            <w:r>
              <w:rPr/>
              <w:t>1</w:t>
            </w:r>
          </w:p>
        </w:tc>
        <w:tc>
          <w:tcPr>
            <w:tcW w:w="2154" w:type="dxa"/>
            <w:tcBorders/>
          </w:tcPr>
          <w:p>
            <w:pPr>
              <w:pStyle w:val="ConsPlusNormal"/>
              <w:tabs>
                <w:tab w:val="clear" w:pos="720"/>
              </w:tabs>
              <w:ind w:left="0" w:hanging="0"/>
              <w:jc w:val="center"/>
              <w:rPr>
                <w:b w:val="false"/>
                <w:b w:val="false"/>
              </w:rPr>
            </w:pPr>
            <w:r>
              <w:rPr/>
              <w:t>-</w:t>
            </w:r>
          </w:p>
        </w:tc>
      </w:tr>
      <w:tr>
        <w:trPr/>
        <w:tc>
          <w:tcPr>
            <w:tcW w:w="5272" w:type="dxa"/>
            <w:tcBorders/>
          </w:tcPr>
          <w:p>
            <w:pPr>
              <w:pStyle w:val="ConsPlusNormal"/>
              <w:tabs>
                <w:tab w:val="clear" w:pos="720"/>
              </w:tabs>
              <w:ind w:left="0" w:hanging="0"/>
              <w:jc w:val="left"/>
              <w:rPr>
                <w:b w:val="false"/>
                <w:b w:val="false"/>
              </w:rPr>
            </w:pPr>
            <w:r>
              <w:rPr/>
              <w:t>Дежурный (помощник дежурного) по подразделению ведомственной охраны</w:t>
            </w:r>
          </w:p>
        </w:tc>
        <w:tc>
          <w:tcPr>
            <w:tcW w:w="1650" w:type="dxa"/>
            <w:tcBorders/>
          </w:tcPr>
          <w:p>
            <w:pPr>
              <w:pStyle w:val="ConsPlusNormal"/>
              <w:tabs>
                <w:tab w:val="clear" w:pos="720"/>
              </w:tabs>
              <w:ind w:left="0" w:hanging="0"/>
              <w:jc w:val="center"/>
              <w:rPr>
                <w:b w:val="false"/>
                <w:b w:val="false"/>
              </w:rPr>
            </w:pPr>
            <w:r>
              <w:rPr/>
              <w:t>1</w:t>
            </w:r>
          </w:p>
        </w:tc>
        <w:tc>
          <w:tcPr>
            <w:tcW w:w="2154" w:type="dxa"/>
            <w:tcBorders/>
          </w:tcPr>
          <w:p>
            <w:pPr>
              <w:pStyle w:val="ConsPlusNormal"/>
              <w:tabs>
                <w:tab w:val="clear" w:pos="720"/>
              </w:tabs>
              <w:ind w:left="0" w:hanging="0"/>
              <w:jc w:val="center"/>
              <w:rPr>
                <w:b w:val="false"/>
                <w:b w:val="false"/>
              </w:rPr>
            </w:pPr>
            <w:r>
              <w:rPr/>
              <w:t>-</w:t>
            </w:r>
          </w:p>
        </w:tc>
      </w:tr>
      <w:tr>
        <w:trPr/>
        <w:tc>
          <w:tcPr>
            <w:tcW w:w="5272" w:type="dxa"/>
            <w:tcBorders/>
          </w:tcPr>
          <w:p>
            <w:pPr>
              <w:pStyle w:val="ConsPlusNormal"/>
              <w:tabs>
                <w:tab w:val="clear" w:pos="720"/>
              </w:tabs>
              <w:ind w:left="0" w:hanging="0"/>
              <w:jc w:val="left"/>
              <w:rPr>
                <w:b w:val="false"/>
                <w:b w:val="false"/>
              </w:rPr>
            </w:pPr>
            <w:r>
              <w:rPr/>
              <w:t>Работник, обеспечивающий пропускной и внутриобъектовый режимы на охраняемом объекте</w:t>
            </w:r>
          </w:p>
        </w:tc>
        <w:tc>
          <w:tcPr>
            <w:tcW w:w="1650" w:type="dxa"/>
            <w:tcBorders/>
          </w:tcPr>
          <w:p>
            <w:pPr>
              <w:pStyle w:val="ConsPlusNormal"/>
              <w:tabs>
                <w:tab w:val="clear" w:pos="720"/>
              </w:tabs>
              <w:ind w:left="0" w:hanging="0"/>
              <w:jc w:val="center"/>
              <w:rPr>
                <w:b w:val="false"/>
                <w:b w:val="false"/>
              </w:rPr>
            </w:pPr>
            <w:r>
              <w:rPr/>
              <w:t>1</w:t>
            </w:r>
          </w:p>
        </w:tc>
        <w:tc>
          <w:tcPr>
            <w:tcW w:w="2154" w:type="dxa"/>
            <w:tcBorders/>
          </w:tcPr>
          <w:p>
            <w:pPr>
              <w:pStyle w:val="ConsPlusNormal"/>
              <w:tabs>
                <w:tab w:val="clear" w:pos="720"/>
              </w:tabs>
              <w:ind w:left="0" w:hanging="0"/>
              <w:jc w:val="center"/>
              <w:rPr>
                <w:b w:val="false"/>
                <w:b w:val="false"/>
              </w:rPr>
            </w:pPr>
            <w:r>
              <w:rPr/>
              <w:t>-</w:t>
            </w:r>
          </w:p>
        </w:tc>
      </w:tr>
      <w:tr>
        <w:trPr/>
        <w:tc>
          <w:tcPr>
            <w:tcW w:w="5272" w:type="dxa"/>
            <w:tcBorders/>
          </w:tcPr>
          <w:p>
            <w:pPr>
              <w:pStyle w:val="ConsPlusNormal"/>
              <w:tabs>
                <w:tab w:val="clear" w:pos="720"/>
              </w:tabs>
              <w:ind w:left="0" w:hanging="0"/>
              <w:jc w:val="left"/>
              <w:rPr>
                <w:b w:val="false"/>
                <w:b w:val="false"/>
              </w:rPr>
            </w:pPr>
            <w:r>
              <w:rPr/>
              <w:t>Работник, обеспечивающий охрану объекта на наружных (внешних) постах</w:t>
            </w:r>
          </w:p>
        </w:tc>
        <w:tc>
          <w:tcPr>
            <w:tcW w:w="3804" w:type="dxa"/>
            <w:gridSpan w:val="2"/>
            <w:tcBorders/>
          </w:tcPr>
          <w:p>
            <w:pPr>
              <w:pStyle w:val="ConsPlusNormal"/>
              <w:tabs>
                <w:tab w:val="clear" w:pos="720"/>
              </w:tabs>
              <w:ind w:left="0" w:hanging="0"/>
              <w:jc w:val="center"/>
              <w:rPr>
                <w:b w:val="false"/>
                <w:b w:val="false"/>
              </w:rPr>
            </w:pPr>
            <w:r>
              <w:rPr/>
              <w:t>1 или 1</w:t>
            </w:r>
          </w:p>
        </w:tc>
      </w:tr>
      <w:tr>
        <w:trPr/>
        <w:tc>
          <w:tcPr>
            <w:tcW w:w="5272" w:type="dxa"/>
            <w:tcBorders/>
          </w:tcPr>
          <w:p>
            <w:pPr>
              <w:pStyle w:val="ConsPlusNormal"/>
              <w:tabs>
                <w:tab w:val="clear" w:pos="720"/>
              </w:tabs>
              <w:ind w:left="0" w:hanging="0"/>
              <w:jc w:val="left"/>
              <w:rPr>
                <w:b w:val="false"/>
                <w:b w:val="false"/>
              </w:rPr>
            </w:pPr>
            <w:r>
              <w:rPr/>
              <w:t>Работник, обеспечивающий охрану груза в пути следования, сопровождения</w:t>
            </w:r>
          </w:p>
        </w:tc>
        <w:tc>
          <w:tcPr>
            <w:tcW w:w="3804" w:type="dxa"/>
            <w:gridSpan w:val="2"/>
            <w:tcBorders/>
          </w:tcPr>
          <w:p>
            <w:pPr>
              <w:pStyle w:val="ConsPlusNormal"/>
              <w:tabs>
                <w:tab w:val="clear" w:pos="720"/>
              </w:tabs>
              <w:ind w:left="0" w:hanging="0"/>
              <w:jc w:val="center"/>
              <w:rPr>
                <w:b w:val="false"/>
                <w:b w:val="false"/>
              </w:rPr>
            </w:pPr>
            <w:r>
              <w:rPr/>
              <w:t>1 или 1</w:t>
            </w:r>
          </w:p>
        </w:tc>
      </w:tr>
      <w:tr>
        <w:trPr/>
        <w:tc>
          <w:tcPr>
            <w:tcW w:w="5272" w:type="dxa"/>
            <w:tcBorders/>
          </w:tcPr>
          <w:p>
            <w:pPr>
              <w:pStyle w:val="ConsPlusNormal"/>
              <w:tabs>
                <w:tab w:val="clear" w:pos="720"/>
              </w:tabs>
              <w:ind w:left="0" w:hanging="0"/>
              <w:jc w:val="left"/>
              <w:rPr>
                <w:b w:val="false"/>
                <w:b w:val="false"/>
              </w:rPr>
            </w:pPr>
            <w:r>
              <w:rPr/>
              <w:t>Работник, включенный в состав резервной группы по поиску и задержанию лиц, совершивших преступление на охраняемом объекте, или отражению вооруженного нападения (на каждого работника, включенного в резервную группу)</w:t>
            </w:r>
          </w:p>
        </w:tc>
        <w:tc>
          <w:tcPr>
            <w:tcW w:w="3804" w:type="dxa"/>
            <w:gridSpan w:val="2"/>
            <w:tcBorders/>
          </w:tcPr>
          <w:p>
            <w:pPr>
              <w:pStyle w:val="ConsPlusNormal"/>
              <w:tabs>
                <w:tab w:val="clear" w:pos="720"/>
              </w:tabs>
              <w:ind w:left="0" w:hanging="0"/>
              <w:jc w:val="center"/>
              <w:rPr>
                <w:b w:val="false"/>
                <w:b w:val="false"/>
              </w:rPr>
            </w:pPr>
            <w:r>
              <w:rPr/>
              <w:t>1 или 1</w:t>
            </w:r>
          </w:p>
        </w:tc>
      </w:tr>
      <w:tr>
        <w:trPr/>
        <w:tc>
          <w:tcPr>
            <w:tcW w:w="9076" w:type="dxa"/>
            <w:gridSpan w:val="3"/>
            <w:tcBorders/>
          </w:tcPr>
          <w:p>
            <w:pPr>
              <w:pStyle w:val="ConsPlusNormal"/>
              <w:tabs>
                <w:tab w:val="clear" w:pos="720"/>
              </w:tabs>
              <w:ind w:left="0" w:hanging="0"/>
              <w:jc w:val="both"/>
              <w:rPr>
                <w:b w:val="false"/>
                <w:b w:val="false"/>
              </w:rPr>
            </w:pPr>
            <w:r>
              <w:rPr/>
              <w:t>(введено Постановлением Правительства РФ от 10.07.2014 N 644)</w:t>
            </w:r>
          </w:p>
        </w:tc>
      </w:tr>
      <w:tr>
        <w:trPr/>
        <w:tc>
          <w:tcPr>
            <w:tcW w:w="5272" w:type="dxa"/>
            <w:tcBorders/>
          </w:tcPr>
          <w:p>
            <w:pPr>
              <w:pStyle w:val="ConsPlusNormal"/>
              <w:tabs>
                <w:tab w:val="clear" w:pos="720"/>
              </w:tabs>
              <w:ind w:left="0" w:hanging="0"/>
              <w:jc w:val="left"/>
              <w:rPr>
                <w:b w:val="false"/>
                <w:b w:val="false"/>
              </w:rPr>
            </w:pPr>
            <w:r>
              <w:rPr/>
              <w:t>Работник служебного собаководства, обеспечивающий охрану объекта</w:t>
            </w:r>
          </w:p>
        </w:tc>
        <w:tc>
          <w:tcPr>
            <w:tcW w:w="1650" w:type="dxa"/>
            <w:tcBorders/>
          </w:tcPr>
          <w:p>
            <w:pPr>
              <w:pStyle w:val="ConsPlusNormal"/>
              <w:tabs>
                <w:tab w:val="clear" w:pos="720"/>
              </w:tabs>
              <w:ind w:left="0" w:hanging="0"/>
              <w:jc w:val="center"/>
              <w:rPr>
                <w:b w:val="false"/>
                <w:b w:val="false"/>
              </w:rPr>
            </w:pPr>
            <w:r>
              <w:rPr/>
              <w:t>1</w:t>
            </w:r>
          </w:p>
        </w:tc>
        <w:tc>
          <w:tcPr>
            <w:tcW w:w="2154" w:type="dxa"/>
            <w:tcBorders/>
          </w:tcPr>
          <w:p>
            <w:pPr>
              <w:pStyle w:val="ConsPlusNormal"/>
              <w:tabs>
                <w:tab w:val="clear" w:pos="720"/>
              </w:tabs>
              <w:ind w:left="0" w:hanging="0"/>
              <w:jc w:val="center"/>
              <w:rPr>
                <w:b w:val="false"/>
                <w:b w:val="false"/>
              </w:rPr>
            </w:pPr>
            <w:r>
              <w:rPr/>
              <w:t>-</w:t>
            </w:r>
          </w:p>
        </w:tc>
      </w:tr>
      <w:tr>
        <w:trPr/>
        <w:tc>
          <w:tcPr>
            <w:tcW w:w="9076" w:type="dxa"/>
            <w:gridSpan w:val="3"/>
            <w:tcBorders/>
          </w:tcPr>
          <w:p>
            <w:pPr>
              <w:pStyle w:val="ConsPlusNormal"/>
              <w:tabs>
                <w:tab w:val="clear" w:pos="720"/>
              </w:tabs>
              <w:ind w:left="0" w:hanging="0"/>
              <w:jc w:val="both"/>
              <w:rPr>
                <w:b w:val="false"/>
                <w:b w:val="false"/>
              </w:rPr>
            </w:pPr>
            <w:r>
              <w:rPr/>
              <w:t>(введено Постановлением Правительства РФ от 10.07.2014 N 644)</w:t>
            </w:r>
          </w:p>
        </w:tc>
      </w:tr>
    </w:tbl>
    <w:p>
      <w:pPr>
        <w:pStyle w:val="ConsPlusNormal"/>
        <w:ind w:left="0" w:hanging="0"/>
        <w:jc w:val="left"/>
        <w:rPr/>
      </w:pPr>
      <w:r>
        <w:rPr/>
      </w:r>
    </w:p>
    <w:p>
      <w:pPr>
        <w:pStyle w:val="ConsPlusNormal"/>
        <w:ind w:left="0" w:firstLine="540"/>
        <w:jc w:val="both"/>
        <w:rPr/>
      </w:pPr>
      <w:r>
        <w:rPr/>
        <w:t>3. Патроны к служебному огнестрельному оружию приобретаются по следующим нормам:</w:t>
      </w:r>
    </w:p>
    <w:p>
      <w:pPr>
        <w:pStyle w:val="ConsPlusNormal"/>
        <w:ind w:left="0" w:hanging="0"/>
        <w:jc w:val="both"/>
        <w:rPr/>
      </w:pPr>
      <w:r>
        <w:rPr/>
      </w:r>
    </w:p>
    <w:tbl>
      <w:tblPr>
        <w:tblW w:w="9067" w:type="dxa"/>
        <w:jc w:val="left"/>
        <w:tblInd w:w="62" w:type="dxa"/>
        <w:tblCellMar>
          <w:top w:w="102" w:type="dxa"/>
          <w:left w:w="62" w:type="dxa"/>
          <w:bottom w:w="102" w:type="dxa"/>
          <w:right w:w="62" w:type="dxa"/>
        </w:tblCellMar>
      </w:tblPr>
      <w:tblGrid>
        <w:gridCol w:w="1870"/>
        <w:gridCol w:w="1"/>
        <w:gridCol w:w="1700"/>
        <w:gridCol w:w="1922"/>
        <w:gridCol w:w="1701"/>
        <w:gridCol w:w="1873"/>
      </w:tblGrid>
      <w:tr>
        <w:trPr/>
        <w:tc>
          <w:tcPr>
            <w:tcW w:w="1870" w:type="dxa"/>
            <w:vMerge w:val="restart"/>
            <w:tcBorders>
              <w:top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Наименование оружия</w:t>
            </w:r>
          </w:p>
        </w:tc>
        <w:tc>
          <w:tcPr>
            <w:tcW w:w="1701" w:type="dxa"/>
            <w:gridSpan w:val="2"/>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Неснижаемый запас патронов на единицу оружия</w:t>
            </w:r>
          </w:p>
        </w:tc>
        <w:tc>
          <w:tcPr>
            <w:tcW w:w="5496" w:type="dxa"/>
            <w:gridSpan w:val="3"/>
            <w:tcBorders>
              <w:top w:val="single" w:sz="4" w:space="0" w:color="000000"/>
              <w:left w:val="single" w:sz="4" w:space="0" w:color="000000"/>
              <w:bottom w:val="single" w:sz="4" w:space="0" w:color="000000"/>
            </w:tcBorders>
          </w:tcPr>
          <w:p>
            <w:pPr>
              <w:pStyle w:val="ConsPlusNormal"/>
              <w:tabs>
                <w:tab w:val="clear" w:pos="720"/>
              </w:tabs>
              <w:ind w:left="0" w:hanging="0"/>
              <w:jc w:val="center"/>
              <w:rPr>
                <w:b w:val="false"/>
                <w:b w:val="false"/>
              </w:rPr>
            </w:pPr>
            <w:r>
              <w:rPr/>
              <w:t>Нормы патронов (штук)</w:t>
            </w:r>
          </w:p>
        </w:tc>
      </w:tr>
      <w:tr>
        <w:trPr/>
        <w:tc>
          <w:tcPr>
            <w:tcW w:w="1871" w:type="dxa"/>
            <w:gridSpan w:val="2"/>
            <w:vMerge w:val="continue"/>
            <w:tcBorders>
              <w:top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70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92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 проверку боя оружия и приведение его к нормальному бою (на каждую единицу оружия в год)</w:t>
            </w:r>
          </w:p>
        </w:tc>
        <w:tc>
          <w:tcPr>
            <w:tcW w:w="170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 учебную стрельбу (на каждого работника в год)</w:t>
            </w:r>
          </w:p>
        </w:tc>
        <w:tc>
          <w:tcPr>
            <w:tcW w:w="1873" w:type="dxa"/>
            <w:tcBorders>
              <w:top w:val="single" w:sz="4" w:space="0" w:color="000000"/>
              <w:left w:val="single" w:sz="4" w:space="0" w:color="000000"/>
              <w:bottom w:val="single" w:sz="4" w:space="0" w:color="000000"/>
            </w:tcBorders>
          </w:tcPr>
          <w:p>
            <w:pPr>
              <w:pStyle w:val="ConsPlusNormal"/>
              <w:tabs>
                <w:tab w:val="clear" w:pos="720"/>
              </w:tabs>
              <w:ind w:left="0" w:hanging="0"/>
              <w:jc w:val="center"/>
              <w:rPr>
                <w:b w:val="false"/>
                <w:b w:val="false"/>
              </w:rPr>
            </w:pPr>
            <w:r>
              <w:rPr/>
              <w:t>для проведения контрольного отстрела (на каждую единицу оружия 1 раз в пятнадцать лет)</w:t>
            </w:r>
          </w:p>
        </w:tc>
      </w:tr>
      <w:tr>
        <w:trPr/>
        <w:tc>
          <w:tcPr>
            <w:tcW w:w="1871" w:type="dxa"/>
            <w:gridSpan w:val="2"/>
            <w:tcBorders>
              <w:top w:val="single" w:sz="4" w:space="0" w:color="000000"/>
            </w:tcBorders>
          </w:tcPr>
          <w:p>
            <w:pPr>
              <w:pStyle w:val="ConsPlusNormal"/>
              <w:tabs>
                <w:tab w:val="clear" w:pos="720"/>
              </w:tabs>
              <w:ind w:left="0" w:hanging="0"/>
              <w:jc w:val="left"/>
              <w:rPr>
                <w:b w:val="false"/>
                <w:b w:val="false"/>
              </w:rPr>
            </w:pPr>
            <w:r>
              <w:rPr/>
              <w:t>Пистолет ИЖ-71</w:t>
            </w:r>
          </w:p>
        </w:tc>
        <w:tc>
          <w:tcPr>
            <w:tcW w:w="1700" w:type="dxa"/>
            <w:tcBorders>
              <w:top w:val="single" w:sz="4" w:space="0" w:color="000000"/>
            </w:tcBorders>
          </w:tcPr>
          <w:p>
            <w:pPr>
              <w:pStyle w:val="ConsPlusNormal"/>
              <w:tabs>
                <w:tab w:val="clear" w:pos="720"/>
              </w:tabs>
              <w:ind w:left="0" w:hanging="0"/>
              <w:jc w:val="left"/>
              <w:rPr>
                <w:b w:val="false"/>
                <w:b w:val="false"/>
              </w:rPr>
            </w:pPr>
            <w:r>
              <w:rPr/>
              <w:t>по 2 снаряженных магазина</w:t>
            </w:r>
          </w:p>
        </w:tc>
        <w:tc>
          <w:tcPr>
            <w:tcW w:w="1922" w:type="dxa"/>
            <w:tcBorders>
              <w:top w:val="single" w:sz="4" w:space="0" w:color="000000"/>
            </w:tcBorders>
          </w:tcPr>
          <w:p>
            <w:pPr>
              <w:pStyle w:val="ConsPlusNormal"/>
              <w:tabs>
                <w:tab w:val="clear" w:pos="720"/>
              </w:tabs>
              <w:ind w:left="0" w:hanging="0"/>
              <w:jc w:val="center"/>
              <w:rPr>
                <w:b w:val="false"/>
                <w:b w:val="false"/>
              </w:rPr>
            </w:pPr>
            <w:r>
              <w:rPr/>
              <w:t>8</w:t>
            </w:r>
          </w:p>
        </w:tc>
        <w:tc>
          <w:tcPr>
            <w:tcW w:w="1701" w:type="dxa"/>
            <w:tcBorders>
              <w:top w:val="single" w:sz="4" w:space="0" w:color="000000"/>
            </w:tcBorders>
          </w:tcPr>
          <w:p>
            <w:pPr>
              <w:pStyle w:val="ConsPlusNormal"/>
              <w:tabs>
                <w:tab w:val="clear" w:pos="720"/>
              </w:tabs>
              <w:ind w:left="0" w:hanging="0"/>
              <w:jc w:val="center"/>
              <w:rPr>
                <w:b w:val="false"/>
                <w:b w:val="false"/>
              </w:rPr>
            </w:pPr>
            <w:r>
              <w:rPr/>
              <w:t>80</w:t>
            </w:r>
          </w:p>
        </w:tc>
        <w:tc>
          <w:tcPr>
            <w:tcW w:w="1873" w:type="dxa"/>
            <w:tcBorders>
              <w:top w:val="single" w:sz="4" w:space="0" w:color="000000"/>
            </w:tcBorders>
          </w:tcPr>
          <w:p>
            <w:pPr>
              <w:pStyle w:val="ConsPlusNormal"/>
              <w:tabs>
                <w:tab w:val="clear" w:pos="720"/>
              </w:tabs>
              <w:ind w:left="0" w:hanging="0"/>
              <w:jc w:val="center"/>
              <w:rPr>
                <w:b w:val="false"/>
                <w:b w:val="false"/>
              </w:rPr>
            </w:pPr>
            <w:r>
              <w:rPr/>
              <w:t>5</w:t>
            </w:r>
          </w:p>
        </w:tc>
      </w:tr>
      <w:tr>
        <w:trPr/>
        <w:tc>
          <w:tcPr>
            <w:tcW w:w="1871" w:type="dxa"/>
            <w:gridSpan w:val="2"/>
            <w:tcBorders/>
          </w:tcPr>
          <w:p>
            <w:pPr>
              <w:pStyle w:val="ConsPlusNormal"/>
              <w:tabs>
                <w:tab w:val="clear" w:pos="720"/>
              </w:tabs>
              <w:ind w:left="0" w:hanging="0"/>
              <w:jc w:val="left"/>
              <w:rPr>
                <w:b w:val="false"/>
                <w:b w:val="false"/>
              </w:rPr>
            </w:pPr>
            <w:r>
              <w:rPr/>
              <w:t>Револьвер РСЛ-1</w:t>
            </w:r>
          </w:p>
        </w:tc>
        <w:tc>
          <w:tcPr>
            <w:tcW w:w="1700" w:type="dxa"/>
            <w:tcBorders/>
          </w:tcPr>
          <w:p>
            <w:pPr>
              <w:pStyle w:val="ConsPlusNormal"/>
              <w:tabs>
                <w:tab w:val="clear" w:pos="720"/>
              </w:tabs>
              <w:ind w:left="0" w:hanging="0"/>
              <w:jc w:val="left"/>
              <w:rPr>
                <w:b w:val="false"/>
                <w:b w:val="false"/>
              </w:rPr>
            </w:pPr>
            <w:r>
              <w:rPr/>
              <w:t>по 2 снаряженные обоймы</w:t>
            </w:r>
          </w:p>
        </w:tc>
        <w:tc>
          <w:tcPr>
            <w:tcW w:w="1922" w:type="dxa"/>
            <w:tcBorders/>
          </w:tcPr>
          <w:p>
            <w:pPr>
              <w:pStyle w:val="ConsPlusNormal"/>
              <w:tabs>
                <w:tab w:val="clear" w:pos="720"/>
              </w:tabs>
              <w:ind w:left="0" w:hanging="0"/>
              <w:jc w:val="center"/>
              <w:rPr>
                <w:b w:val="false"/>
                <w:b w:val="false"/>
              </w:rPr>
            </w:pPr>
            <w:r>
              <w:rPr/>
              <w:t>8</w:t>
            </w:r>
          </w:p>
        </w:tc>
        <w:tc>
          <w:tcPr>
            <w:tcW w:w="1701" w:type="dxa"/>
            <w:tcBorders/>
          </w:tcPr>
          <w:p>
            <w:pPr>
              <w:pStyle w:val="ConsPlusNormal"/>
              <w:tabs>
                <w:tab w:val="clear" w:pos="720"/>
              </w:tabs>
              <w:ind w:left="0" w:hanging="0"/>
              <w:jc w:val="center"/>
              <w:rPr>
                <w:b w:val="false"/>
                <w:b w:val="false"/>
              </w:rPr>
            </w:pPr>
            <w:r>
              <w:rPr/>
              <w:t>80</w:t>
            </w:r>
          </w:p>
        </w:tc>
        <w:tc>
          <w:tcPr>
            <w:tcW w:w="1873" w:type="dxa"/>
            <w:tcBorders/>
          </w:tcPr>
          <w:p>
            <w:pPr>
              <w:pStyle w:val="ConsPlusNormal"/>
              <w:tabs>
                <w:tab w:val="clear" w:pos="720"/>
              </w:tabs>
              <w:ind w:left="0" w:hanging="0"/>
              <w:jc w:val="center"/>
              <w:rPr>
                <w:b w:val="false"/>
                <w:b w:val="false"/>
              </w:rPr>
            </w:pPr>
            <w:r>
              <w:rPr/>
              <w:t>5</w:t>
            </w:r>
          </w:p>
        </w:tc>
      </w:tr>
      <w:tr>
        <w:trPr/>
        <w:tc>
          <w:tcPr>
            <w:tcW w:w="1871" w:type="dxa"/>
            <w:gridSpan w:val="2"/>
            <w:tcBorders/>
          </w:tcPr>
          <w:p>
            <w:pPr>
              <w:pStyle w:val="ConsPlusNormal"/>
              <w:tabs>
                <w:tab w:val="clear" w:pos="720"/>
              </w:tabs>
              <w:ind w:left="0" w:hanging="0"/>
              <w:jc w:val="left"/>
              <w:rPr>
                <w:b w:val="false"/>
                <w:b w:val="false"/>
              </w:rPr>
            </w:pPr>
            <w:r>
              <w:rPr/>
              <w:t>Пистолет МР-71</w:t>
            </w:r>
          </w:p>
        </w:tc>
        <w:tc>
          <w:tcPr>
            <w:tcW w:w="1700" w:type="dxa"/>
            <w:tcBorders/>
          </w:tcPr>
          <w:p>
            <w:pPr>
              <w:pStyle w:val="ConsPlusNormal"/>
              <w:tabs>
                <w:tab w:val="clear" w:pos="720"/>
              </w:tabs>
              <w:ind w:left="0" w:hanging="0"/>
              <w:jc w:val="left"/>
              <w:rPr>
                <w:b w:val="false"/>
                <w:b w:val="false"/>
              </w:rPr>
            </w:pPr>
            <w:r>
              <w:rPr/>
              <w:t>по 2 снаряженных магазина</w:t>
            </w:r>
          </w:p>
        </w:tc>
        <w:tc>
          <w:tcPr>
            <w:tcW w:w="1922" w:type="dxa"/>
            <w:tcBorders/>
          </w:tcPr>
          <w:p>
            <w:pPr>
              <w:pStyle w:val="ConsPlusNormal"/>
              <w:tabs>
                <w:tab w:val="clear" w:pos="720"/>
              </w:tabs>
              <w:ind w:left="0" w:hanging="0"/>
              <w:jc w:val="center"/>
              <w:rPr>
                <w:b w:val="false"/>
                <w:b w:val="false"/>
              </w:rPr>
            </w:pPr>
            <w:r>
              <w:rPr/>
              <w:t>8</w:t>
            </w:r>
          </w:p>
        </w:tc>
        <w:tc>
          <w:tcPr>
            <w:tcW w:w="1701" w:type="dxa"/>
            <w:tcBorders/>
          </w:tcPr>
          <w:p>
            <w:pPr>
              <w:pStyle w:val="ConsPlusNormal"/>
              <w:tabs>
                <w:tab w:val="clear" w:pos="720"/>
              </w:tabs>
              <w:ind w:left="0" w:hanging="0"/>
              <w:jc w:val="center"/>
              <w:rPr>
                <w:b w:val="false"/>
                <w:b w:val="false"/>
              </w:rPr>
            </w:pPr>
            <w:r>
              <w:rPr/>
              <w:t>80</w:t>
            </w:r>
          </w:p>
        </w:tc>
        <w:tc>
          <w:tcPr>
            <w:tcW w:w="1873" w:type="dxa"/>
            <w:tcBorders/>
          </w:tcPr>
          <w:p>
            <w:pPr>
              <w:pStyle w:val="ConsPlusNormal"/>
              <w:tabs>
                <w:tab w:val="clear" w:pos="720"/>
              </w:tabs>
              <w:ind w:left="0" w:hanging="0"/>
              <w:jc w:val="center"/>
              <w:rPr>
                <w:b w:val="false"/>
                <w:b w:val="false"/>
              </w:rPr>
            </w:pPr>
            <w:r>
              <w:rPr/>
              <w:t>5</w:t>
            </w:r>
          </w:p>
        </w:tc>
      </w:tr>
      <w:tr>
        <w:trPr/>
        <w:tc>
          <w:tcPr>
            <w:tcW w:w="1871" w:type="dxa"/>
            <w:gridSpan w:val="2"/>
            <w:tcBorders/>
          </w:tcPr>
          <w:p>
            <w:pPr>
              <w:pStyle w:val="ConsPlusNormal"/>
              <w:tabs>
                <w:tab w:val="clear" w:pos="720"/>
              </w:tabs>
              <w:ind w:left="0" w:hanging="0"/>
              <w:jc w:val="left"/>
              <w:rPr>
                <w:b w:val="false"/>
                <w:b w:val="false"/>
              </w:rPr>
            </w:pPr>
            <w:r>
              <w:rPr/>
              <w:t>Пистолет ПКСК</w:t>
            </w:r>
          </w:p>
        </w:tc>
        <w:tc>
          <w:tcPr>
            <w:tcW w:w="1700" w:type="dxa"/>
            <w:tcBorders/>
          </w:tcPr>
          <w:p>
            <w:pPr>
              <w:pStyle w:val="ConsPlusNormal"/>
              <w:tabs>
                <w:tab w:val="clear" w:pos="720"/>
              </w:tabs>
              <w:ind w:left="0" w:hanging="0"/>
              <w:jc w:val="left"/>
              <w:rPr>
                <w:b w:val="false"/>
                <w:b w:val="false"/>
              </w:rPr>
            </w:pPr>
            <w:r>
              <w:rPr/>
              <w:t>по 2 снаряженных магазина</w:t>
            </w:r>
          </w:p>
        </w:tc>
        <w:tc>
          <w:tcPr>
            <w:tcW w:w="1922" w:type="dxa"/>
            <w:tcBorders/>
          </w:tcPr>
          <w:p>
            <w:pPr>
              <w:pStyle w:val="ConsPlusNormal"/>
              <w:tabs>
                <w:tab w:val="clear" w:pos="720"/>
              </w:tabs>
              <w:ind w:left="0" w:hanging="0"/>
              <w:jc w:val="center"/>
              <w:rPr>
                <w:b w:val="false"/>
                <w:b w:val="false"/>
              </w:rPr>
            </w:pPr>
            <w:r>
              <w:rPr/>
              <w:t>8</w:t>
            </w:r>
          </w:p>
        </w:tc>
        <w:tc>
          <w:tcPr>
            <w:tcW w:w="1701" w:type="dxa"/>
            <w:tcBorders/>
          </w:tcPr>
          <w:p>
            <w:pPr>
              <w:pStyle w:val="ConsPlusNormal"/>
              <w:tabs>
                <w:tab w:val="clear" w:pos="720"/>
              </w:tabs>
              <w:ind w:left="0" w:hanging="0"/>
              <w:jc w:val="center"/>
              <w:rPr>
                <w:b w:val="false"/>
                <w:b w:val="false"/>
              </w:rPr>
            </w:pPr>
            <w:r>
              <w:rPr/>
              <w:t>80</w:t>
            </w:r>
          </w:p>
        </w:tc>
        <w:tc>
          <w:tcPr>
            <w:tcW w:w="1873" w:type="dxa"/>
            <w:tcBorders/>
          </w:tcPr>
          <w:p>
            <w:pPr>
              <w:pStyle w:val="ConsPlusNormal"/>
              <w:tabs>
                <w:tab w:val="clear" w:pos="720"/>
              </w:tabs>
              <w:ind w:left="0" w:hanging="0"/>
              <w:jc w:val="center"/>
              <w:rPr>
                <w:b w:val="false"/>
                <w:b w:val="false"/>
              </w:rPr>
            </w:pPr>
            <w:r>
              <w:rPr/>
              <w:t>5</w:t>
            </w:r>
          </w:p>
        </w:tc>
      </w:tr>
      <w:tr>
        <w:trPr/>
        <w:tc>
          <w:tcPr>
            <w:tcW w:w="1871" w:type="dxa"/>
            <w:gridSpan w:val="2"/>
            <w:tcBorders/>
          </w:tcPr>
          <w:p>
            <w:pPr>
              <w:pStyle w:val="ConsPlusNormal"/>
              <w:tabs>
                <w:tab w:val="clear" w:pos="720"/>
              </w:tabs>
              <w:ind w:left="0" w:hanging="0"/>
              <w:jc w:val="left"/>
              <w:rPr>
                <w:b w:val="false"/>
                <w:b w:val="false"/>
              </w:rPr>
            </w:pPr>
            <w:r>
              <w:rPr/>
              <w:t>Пистолет МР-471</w:t>
            </w:r>
          </w:p>
        </w:tc>
        <w:tc>
          <w:tcPr>
            <w:tcW w:w="1700" w:type="dxa"/>
            <w:tcBorders/>
          </w:tcPr>
          <w:p>
            <w:pPr>
              <w:pStyle w:val="ConsPlusNormal"/>
              <w:tabs>
                <w:tab w:val="clear" w:pos="720"/>
              </w:tabs>
              <w:ind w:left="0" w:hanging="0"/>
              <w:jc w:val="left"/>
              <w:rPr>
                <w:b w:val="false"/>
                <w:b w:val="false"/>
              </w:rPr>
            </w:pPr>
            <w:r>
              <w:rPr/>
              <w:t>по 2 снаряженных магазина</w:t>
            </w:r>
          </w:p>
        </w:tc>
        <w:tc>
          <w:tcPr>
            <w:tcW w:w="1922" w:type="dxa"/>
            <w:tcBorders/>
          </w:tcPr>
          <w:p>
            <w:pPr>
              <w:pStyle w:val="ConsPlusNormal"/>
              <w:tabs>
                <w:tab w:val="clear" w:pos="720"/>
              </w:tabs>
              <w:ind w:left="0" w:hanging="0"/>
              <w:jc w:val="center"/>
              <w:rPr>
                <w:b w:val="false"/>
                <w:b w:val="false"/>
              </w:rPr>
            </w:pPr>
            <w:r>
              <w:rPr/>
              <w:t>8</w:t>
            </w:r>
          </w:p>
        </w:tc>
        <w:tc>
          <w:tcPr>
            <w:tcW w:w="1701" w:type="dxa"/>
            <w:tcBorders/>
          </w:tcPr>
          <w:p>
            <w:pPr>
              <w:pStyle w:val="ConsPlusNormal"/>
              <w:tabs>
                <w:tab w:val="clear" w:pos="720"/>
              </w:tabs>
              <w:ind w:left="0" w:hanging="0"/>
              <w:jc w:val="center"/>
              <w:rPr>
                <w:b w:val="false"/>
                <w:b w:val="false"/>
              </w:rPr>
            </w:pPr>
            <w:r>
              <w:rPr/>
              <w:t>80</w:t>
            </w:r>
          </w:p>
        </w:tc>
        <w:tc>
          <w:tcPr>
            <w:tcW w:w="1873" w:type="dxa"/>
            <w:tcBorders/>
          </w:tcPr>
          <w:p>
            <w:pPr>
              <w:pStyle w:val="ConsPlusNormal"/>
              <w:tabs>
                <w:tab w:val="clear" w:pos="720"/>
              </w:tabs>
              <w:ind w:left="0" w:hanging="0"/>
              <w:jc w:val="center"/>
              <w:rPr>
                <w:b w:val="false"/>
                <w:b w:val="false"/>
              </w:rPr>
            </w:pPr>
            <w:r>
              <w:rPr/>
              <w:t>-</w:t>
            </w:r>
          </w:p>
        </w:tc>
      </w:tr>
      <w:tr>
        <w:trPr/>
        <w:tc>
          <w:tcPr>
            <w:tcW w:w="1871" w:type="dxa"/>
            <w:gridSpan w:val="2"/>
            <w:tcBorders/>
          </w:tcPr>
          <w:p>
            <w:pPr>
              <w:pStyle w:val="ConsPlusNormal"/>
              <w:tabs>
                <w:tab w:val="clear" w:pos="720"/>
              </w:tabs>
              <w:ind w:left="0" w:hanging="0"/>
              <w:jc w:val="left"/>
              <w:rPr>
                <w:b w:val="false"/>
                <w:b w:val="false"/>
              </w:rPr>
            </w:pPr>
            <w:r>
              <w:rPr/>
              <w:t>Пистолет ПСТ "Капрал"</w:t>
            </w:r>
          </w:p>
        </w:tc>
        <w:tc>
          <w:tcPr>
            <w:tcW w:w="1700" w:type="dxa"/>
            <w:tcBorders/>
          </w:tcPr>
          <w:p>
            <w:pPr>
              <w:pStyle w:val="ConsPlusNormal"/>
              <w:tabs>
                <w:tab w:val="clear" w:pos="720"/>
              </w:tabs>
              <w:ind w:left="0" w:hanging="0"/>
              <w:jc w:val="left"/>
              <w:rPr>
                <w:b w:val="false"/>
                <w:b w:val="false"/>
              </w:rPr>
            </w:pPr>
            <w:r>
              <w:rPr/>
              <w:t>по 2 снаряженных магазина</w:t>
            </w:r>
          </w:p>
        </w:tc>
        <w:tc>
          <w:tcPr>
            <w:tcW w:w="1922" w:type="dxa"/>
            <w:tcBorders/>
          </w:tcPr>
          <w:p>
            <w:pPr>
              <w:pStyle w:val="ConsPlusNormal"/>
              <w:tabs>
                <w:tab w:val="clear" w:pos="720"/>
              </w:tabs>
              <w:ind w:left="0" w:hanging="0"/>
              <w:jc w:val="center"/>
              <w:rPr>
                <w:b w:val="false"/>
                <w:b w:val="false"/>
              </w:rPr>
            </w:pPr>
            <w:r>
              <w:rPr/>
              <w:t>8</w:t>
            </w:r>
          </w:p>
        </w:tc>
        <w:tc>
          <w:tcPr>
            <w:tcW w:w="1701" w:type="dxa"/>
            <w:tcBorders/>
          </w:tcPr>
          <w:p>
            <w:pPr>
              <w:pStyle w:val="ConsPlusNormal"/>
              <w:tabs>
                <w:tab w:val="clear" w:pos="720"/>
              </w:tabs>
              <w:ind w:left="0" w:hanging="0"/>
              <w:jc w:val="center"/>
              <w:rPr>
                <w:b w:val="false"/>
                <w:b w:val="false"/>
              </w:rPr>
            </w:pPr>
            <w:r>
              <w:rPr/>
              <w:t>80</w:t>
            </w:r>
          </w:p>
        </w:tc>
        <w:tc>
          <w:tcPr>
            <w:tcW w:w="1873" w:type="dxa"/>
            <w:tcBorders/>
          </w:tcPr>
          <w:p>
            <w:pPr>
              <w:pStyle w:val="ConsPlusNormal"/>
              <w:tabs>
                <w:tab w:val="clear" w:pos="720"/>
              </w:tabs>
              <w:ind w:left="0" w:hanging="0"/>
              <w:jc w:val="center"/>
              <w:rPr>
                <w:b w:val="false"/>
                <w:b w:val="false"/>
              </w:rPr>
            </w:pPr>
            <w:r>
              <w:rPr/>
              <w:t>-</w:t>
            </w:r>
          </w:p>
        </w:tc>
      </w:tr>
      <w:tr>
        <w:trPr/>
        <w:tc>
          <w:tcPr>
            <w:tcW w:w="1871" w:type="dxa"/>
            <w:gridSpan w:val="2"/>
            <w:tcBorders/>
          </w:tcPr>
          <w:p>
            <w:pPr>
              <w:pStyle w:val="ConsPlusNormal"/>
              <w:tabs>
                <w:tab w:val="clear" w:pos="720"/>
              </w:tabs>
              <w:ind w:left="0" w:hanging="0"/>
              <w:jc w:val="left"/>
              <w:rPr>
                <w:b w:val="false"/>
                <w:b w:val="false"/>
              </w:rPr>
            </w:pPr>
            <w:r>
              <w:rPr/>
              <w:t>Огнестрельное длинноствольное гладкоствольное оружие</w:t>
            </w:r>
          </w:p>
        </w:tc>
        <w:tc>
          <w:tcPr>
            <w:tcW w:w="1700" w:type="dxa"/>
            <w:tcBorders/>
          </w:tcPr>
          <w:p>
            <w:pPr>
              <w:pStyle w:val="ConsPlusNormal"/>
              <w:tabs>
                <w:tab w:val="clear" w:pos="720"/>
              </w:tabs>
              <w:ind w:left="0" w:hanging="0"/>
              <w:jc w:val="left"/>
              <w:rPr>
                <w:b w:val="false"/>
                <w:b w:val="false"/>
              </w:rPr>
            </w:pPr>
            <w:r>
              <w:rPr/>
              <w:t>40</w:t>
            </w:r>
          </w:p>
        </w:tc>
        <w:tc>
          <w:tcPr>
            <w:tcW w:w="1922" w:type="dxa"/>
            <w:tcBorders/>
          </w:tcPr>
          <w:p>
            <w:pPr>
              <w:pStyle w:val="ConsPlusNormal"/>
              <w:tabs>
                <w:tab w:val="clear" w:pos="720"/>
              </w:tabs>
              <w:ind w:left="0" w:hanging="0"/>
              <w:jc w:val="center"/>
              <w:rPr>
                <w:b w:val="false"/>
                <w:b w:val="false"/>
              </w:rPr>
            </w:pPr>
            <w:r>
              <w:rPr/>
              <w:t>10</w:t>
            </w:r>
          </w:p>
        </w:tc>
        <w:tc>
          <w:tcPr>
            <w:tcW w:w="1701" w:type="dxa"/>
            <w:tcBorders/>
          </w:tcPr>
          <w:p>
            <w:pPr>
              <w:pStyle w:val="ConsPlusNormal"/>
              <w:tabs>
                <w:tab w:val="clear" w:pos="720"/>
              </w:tabs>
              <w:ind w:left="0" w:hanging="0"/>
              <w:jc w:val="center"/>
              <w:rPr>
                <w:b w:val="false"/>
                <w:b w:val="false"/>
              </w:rPr>
            </w:pPr>
            <w:r>
              <w:rPr/>
              <w:t>100</w:t>
            </w:r>
          </w:p>
        </w:tc>
        <w:tc>
          <w:tcPr>
            <w:tcW w:w="1873" w:type="dxa"/>
            <w:tcBorders/>
          </w:tcPr>
          <w:p>
            <w:pPr>
              <w:pStyle w:val="ConsPlusNormal"/>
              <w:tabs>
                <w:tab w:val="clear" w:pos="720"/>
              </w:tabs>
              <w:ind w:left="0" w:hanging="0"/>
              <w:jc w:val="center"/>
              <w:rPr>
                <w:b w:val="false"/>
                <w:b w:val="false"/>
              </w:rPr>
            </w:pPr>
            <w:r>
              <w:rPr/>
              <w:t>-</w:t>
            </w:r>
          </w:p>
        </w:tc>
      </w:tr>
      <w:tr>
        <w:trPr/>
        <w:tc>
          <w:tcPr>
            <w:tcW w:w="1871" w:type="dxa"/>
            <w:gridSpan w:val="2"/>
            <w:tcBorders/>
          </w:tcPr>
          <w:p>
            <w:pPr>
              <w:pStyle w:val="ConsPlusNormal"/>
              <w:tabs>
                <w:tab w:val="clear" w:pos="720"/>
              </w:tabs>
              <w:ind w:left="0" w:hanging="0"/>
              <w:jc w:val="left"/>
              <w:rPr>
                <w:b w:val="false"/>
                <w:b w:val="false"/>
              </w:rPr>
            </w:pPr>
            <w:r>
              <w:rPr/>
              <w:t>Огнестрельное оружие ограниченного поражения</w:t>
            </w:r>
          </w:p>
        </w:tc>
        <w:tc>
          <w:tcPr>
            <w:tcW w:w="1700" w:type="dxa"/>
            <w:tcBorders/>
          </w:tcPr>
          <w:p>
            <w:pPr>
              <w:pStyle w:val="ConsPlusNormal"/>
              <w:tabs>
                <w:tab w:val="clear" w:pos="720"/>
              </w:tabs>
              <w:ind w:left="0" w:hanging="0"/>
              <w:jc w:val="left"/>
              <w:rPr>
                <w:b w:val="false"/>
                <w:b w:val="false"/>
              </w:rPr>
            </w:pPr>
            <w:r>
              <w:rPr/>
              <w:t>10</w:t>
            </w:r>
          </w:p>
        </w:tc>
        <w:tc>
          <w:tcPr>
            <w:tcW w:w="1922" w:type="dxa"/>
            <w:tcBorders/>
          </w:tcPr>
          <w:p>
            <w:pPr>
              <w:pStyle w:val="ConsPlusNormal"/>
              <w:tabs>
                <w:tab w:val="clear" w:pos="720"/>
              </w:tabs>
              <w:ind w:left="0" w:hanging="0"/>
              <w:jc w:val="center"/>
              <w:rPr>
                <w:b w:val="false"/>
                <w:b w:val="false"/>
              </w:rPr>
            </w:pPr>
            <w:r>
              <w:rPr/>
              <w:t>-</w:t>
            </w:r>
          </w:p>
        </w:tc>
        <w:tc>
          <w:tcPr>
            <w:tcW w:w="1701" w:type="dxa"/>
            <w:tcBorders/>
          </w:tcPr>
          <w:p>
            <w:pPr>
              <w:pStyle w:val="ConsPlusNormal"/>
              <w:tabs>
                <w:tab w:val="clear" w:pos="720"/>
              </w:tabs>
              <w:ind w:left="0" w:hanging="0"/>
              <w:jc w:val="center"/>
              <w:rPr>
                <w:b w:val="false"/>
                <w:b w:val="false"/>
              </w:rPr>
            </w:pPr>
            <w:r>
              <w:rPr/>
              <w:t>2</w:t>
            </w:r>
          </w:p>
        </w:tc>
        <w:tc>
          <w:tcPr>
            <w:tcW w:w="1873" w:type="dxa"/>
            <w:tcBorders/>
          </w:tcPr>
          <w:p>
            <w:pPr>
              <w:pStyle w:val="ConsPlusNormal"/>
              <w:tabs>
                <w:tab w:val="clear" w:pos="720"/>
              </w:tabs>
              <w:ind w:left="0" w:hanging="0"/>
              <w:jc w:val="center"/>
              <w:rPr>
                <w:b w:val="false"/>
                <w:b w:val="false"/>
              </w:rPr>
            </w:pPr>
            <w:r>
              <w:rPr/>
              <w:t>-</w:t>
            </w:r>
          </w:p>
        </w:tc>
      </w:tr>
      <w:tr>
        <w:trPr/>
        <w:tc>
          <w:tcPr>
            <w:tcW w:w="9067" w:type="dxa"/>
            <w:gridSpan w:val="6"/>
            <w:tcBorders>
              <w:bottom w:val="single" w:sz="4" w:space="0" w:color="000000"/>
            </w:tcBorders>
          </w:tcPr>
          <w:p>
            <w:pPr>
              <w:pStyle w:val="ConsPlusNormal"/>
              <w:tabs>
                <w:tab w:val="clear" w:pos="720"/>
              </w:tabs>
              <w:ind w:left="0" w:hanging="0"/>
              <w:jc w:val="both"/>
              <w:rPr>
                <w:b w:val="false"/>
                <w:b w:val="false"/>
              </w:rPr>
            </w:pPr>
            <w:r>
              <w:rPr/>
              <w:t>(в ред. Постановления Правительства РФ от 23.09.2024 N 1284)</w:t>
            </w:r>
          </w:p>
        </w:tc>
      </w:tr>
    </w:tbl>
    <w:p>
      <w:pPr>
        <w:pStyle w:val="ConsPlusNormal"/>
        <w:ind w:left="0" w:hanging="0"/>
        <w:jc w:val="both"/>
        <w:rPr/>
      </w:pPr>
      <w:r>
        <w:rPr/>
        <w:t>(в ред. Постановления Правительства РФ от 06.05.2023 N 712)</w:t>
      </w:r>
    </w:p>
    <w:p>
      <w:pPr>
        <w:pStyle w:val="ConsPlusNormal"/>
        <w:ind w:left="0" w:hanging="0"/>
        <w:jc w:val="left"/>
        <w:rPr/>
      </w:pPr>
      <w:r>
        <w:rPr/>
        <w:t>(п. 3 в ред. Постановления Правительства РФ от 10.07.2014 N 644)</w:t>
      </w:r>
    </w:p>
    <w:p>
      <w:pPr>
        <w:pStyle w:val="ConsPlusNormal"/>
        <w:ind w:left="0" w:hanging="0"/>
        <w:jc w:val="left"/>
        <w:rPr/>
      </w:pPr>
      <w:r>
        <w:rPr/>
      </w:r>
    </w:p>
    <w:p>
      <w:pPr>
        <w:pStyle w:val="ConsPlusNormal"/>
        <w:ind w:left="0" w:firstLine="540"/>
        <w:jc w:val="both"/>
        <w:rPr/>
      </w:pPr>
      <w:r>
        <w:rPr/>
        <w:t>Примечания. 1. Перечень работников ведомственной охраны федеральных государственных органов, федеральных органов исполнительной власти, высшего исполнительного органа субъекта Российской Федерации - города федерального значения Москвы, организаций, имеющих в соответствии с законодательством Российской Федерации право на создание ведомственной охраны, выполняющих обязанности должностных лиц, указанных в настоящем перечне, и подлежащих обеспечению служебным огнестрельным оружием и специальными средствами, за исключением работников ведомственной охраны государственных военизированных организаций, устанавливается федеральными государственными органами, федеральными органами исполнительной власти, высшим исполнительным органом субъекта Российской Федерации - города федерального значения Москвы, организациями, имеющими в соответствии с законодательством Российской Федерации право на создание ведомственной охраны, по согласованию с Федеральной службой войск национальной гвардии Российской Федерации.</w:t>
      </w:r>
    </w:p>
    <w:p>
      <w:pPr>
        <w:pStyle w:val="ConsPlusNormal"/>
        <w:ind w:left="0" w:hanging="0"/>
        <w:jc w:val="both"/>
        <w:rPr/>
      </w:pPr>
      <w:r>
        <w:rPr/>
        <w:t>(п. 1 в ред. Постановления Правительства РФ от 06.05.2023 N 712)</w:t>
      </w:r>
    </w:p>
    <w:p>
      <w:pPr>
        <w:pStyle w:val="ConsPlusNormal"/>
        <w:spacing w:before="240" w:after="0"/>
        <w:ind w:left="0" w:firstLine="540"/>
        <w:jc w:val="both"/>
        <w:rPr/>
      </w:pPr>
      <w:r>
        <w:rPr/>
        <w:t>2. Начальник (заместитель начальника) ведомственной охраны, начальник (заместитель начальника) регионального и территориального подразделения ведомственной охраны федерального государственного органа, федерального органа исполнительной власти, высшего исполнительного органа субъекта Российской Федерации - города федерального значения Москвы, организации, имеющих в соответствии с законодательством Российской Федерации право на создание ведомственной охраны, обеспечиваются короткоствольным огнестрельным оружием при непосредственном выполнении обязанности по охране объектов.</w:t>
      </w:r>
    </w:p>
    <w:p>
      <w:pPr>
        <w:pStyle w:val="ConsPlusNormal"/>
        <w:ind w:left="0" w:hanging="0"/>
        <w:jc w:val="both"/>
        <w:rPr/>
      </w:pPr>
      <w:r>
        <w:rPr/>
        <w:t>(п. 2 в ред. Постановления Правительства РФ от 06.05.2023 N 712)</w:t>
      </w:r>
    </w:p>
    <w:p>
      <w:pPr>
        <w:pStyle w:val="ConsPlusNormal"/>
        <w:spacing w:before="240" w:after="0"/>
        <w:ind w:left="0" w:firstLine="540"/>
        <w:jc w:val="both"/>
        <w:rPr/>
      </w:pPr>
      <w:r>
        <w:rPr/>
        <w:t>3. Для усиления постов в ведомственной охране может быть создан резерв служебного оружия из расчета одна единица на 10 работников ведомственной охраны, имеющих право на хранение и ношение служебного оружия.</w:t>
      </w:r>
    </w:p>
    <w:p>
      <w:pPr>
        <w:pStyle w:val="ConsPlusNormal"/>
        <w:spacing w:before="240" w:after="0"/>
        <w:ind w:left="0" w:firstLine="540"/>
        <w:jc w:val="both"/>
        <w:rPr/>
      </w:pPr>
      <w:r>
        <w:rPr/>
        <w:t>По согласованию с Федеральной службой войск национальной гвардии Российской Федерации указанный резерв служебного оружия, создаваемый в ведомственной охране, может быть увеличен по решению руководителя федерального государственного органа, федерального органа исполнительной власти, высшего исполнительного органа субъекта Российской Федерации - города федерального значения Москвы, организации, имеющих в соответствии с законодательством Российской Федерации право на создание ведомственной охраны, но не более чем в 2 раза от установленной нормы.</w:t>
      </w:r>
    </w:p>
    <w:p>
      <w:pPr>
        <w:pStyle w:val="ConsPlusNormal"/>
        <w:ind w:left="0" w:hanging="0"/>
        <w:jc w:val="both"/>
        <w:rPr/>
      </w:pPr>
      <w:r>
        <w:rPr/>
        <w:t>(в ред. Постановлений Правительства РФ от 18.01.2018 N 17, от 06.05.2023 N 712)</w:t>
      </w:r>
    </w:p>
    <w:p>
      <w:pPr>
        <w:pStyle w:val="ConsPlusNormal"/>
        <w:ind w:left="0" w:hanging="0"/>
        <w:jc w:val="both"/>
        <w:rPr/>
      </w:pPr>
      <w:r>
        <w:rPr/>
        <w:t>(п. 3 введен Постановлением Правительства РФ от 10.07.2014 N 644)</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Утвержден</w:t>
      </w:r>
    </w:p>
    <w:p>
      <w:pPr>
        <w:pStyle w:val="ConsPlusNormal"/>
        <w:ind w:left="0" w:hanging="0"/>
        <w:jc w:val="right"/>
        <w:rPr/>
      </w:pPr>
      <w:r>
        <w:rPr/>
        <w:t>Постановлением Правительства</w:t>
      </w:r>
    </w:p>
    <w:p>
      <w:pPr>
        <w:pStyle w:val="ConsPlusNormal"/>
        <w:ind w:left="0" w:hanging="0"/>
        <w:jc w:val="right"/>
        <w:rPr/>
      </w:pPr>
      <w:r>
        <w:rPr/>
        <w:t>Российской Федерации</w:t>
      </w:r>
    </w:p>
    <w:p>
      <w:pPr>
        <w:pStyle w:val="ConsPlusNormal"/>
        <w:ind w:left="0" w:hanging="0"/>
        <w:jc w:val="right"/>
        <w:rPr/>
      </w:pPr>
      <w:r>
        <w:rPr/>
        <w:t>от 30 декабря 1999 г. N 1436</w:t>
      </w:r>
    </w:p>
    <w:p>
      <w:pPr>
        <w:pStyle w:val="ConsPlusNormal"/>
        <w:ind w:left="0" w:hanging="0"/>
        <w:jc w:val="left"/>
        <w:rPr/>
      </w:pPr>
      <w:r>
        <w:rPr/>
      </w:r>
    </w:p>
    <w:p>
      <w:pPr>
        <w:pStyle w:val="ConsPlusTitle"/>
        <w:ind w:left="0" w:hanging="0"/>
        <w:jc w:val="center"/>
        <w:rPr/>
      </w:pPr>
      <w:bookmarkStart w:id="2" w:name="Par204"/>
      <w:bookmarkEnd w:id="2"/>
      <w:r>
        <w:rPr/>
        <w:t>ПЕРЕЧЕНЬ</w:t>
      </w:r>
    </w:p>
    <w:p>
      <w:pPr>
        <w:pStyle w:val="ConsPlusTitle"/>
        <w:ind w:left="0" w:hanging="0"/>
        <w:jc w:val="center"/>
        <w:rPr/>
      </w:pPr>
      <w:r>
        <w:rPr/>
        <w:t>ОТДЕЛЬНЫХ ТИПОВ И МОДЕЛЕЙ БОЕВОГО РУЧНОГО СТРЕЛКОВОГО</w:t>
      </w:r>
    </w:p>
    <w:p>
      <w:pPr>
        <w:pStyle w:val="ConsPlusTitle"/>
        <w:ind w:left="0" w:hanging="0"/>
        <w:jc w:val="center"/>
        <w:rPr/>
      </w:pPr>
      <w:r>
        <w:rPr/>
        <w:t>ОРУЖИЯ И ПАТРОНОВ К НЕМУ, КОТОРЫЕ МОГУТ БЫТЬ ПОЛУЧЕНЫ</w:t>
      </w:r>
    </w:p>
    <w:p>
      <w:pPr>
        <w:pStyle w:val="ConsPlusTitle"/>
        <w:ind w:left="0" w:hanging="0"/>
        <w:jc w:val="center"/>
        <w:rPr/>
      </w:pPr>
      <w:r>
        <w:rPr/>
        <w:t>В ТЕРРИТОРИАЛЬНЫХ ОРГАНАХ ФЕДЕРАЛЬНОЙ СЛУЖБЫ ВОЙСК</w:t>
      </w:r>
    </w:p>
    <w:p>
      <w:pPr>
        <w:pStyle w:val="ConsPlusTitle"/>
        <w:ind w:left="0" w:hanging="0"/>
        <w:jc w:val="center"/>
        <w:rPr/>
      </w:pPr>
      <w:r>
        <w:rPr/>
        <w:t>НАЦИОНАЛЬНОЙ ГВАРДИИ РОССИЙСКОЙ ФЕДЕРАЦИИ ФЕДЕРАЛЬНЫМИ</w:t>
      </w:r>
    </w:p>
    <w:p>
      <w:pPr>
        <w:pStyle w:val="ConsPlusTitle"/>
        <w:ind w:left="0" w:hanging="0"/>
        <w:jc w:val="center"/>
        <w:rPr/>
      </w:pPr>
      <w:r>
        <w:rPr/>
        <w:t>ГОСУДАРСТВЕННЫМИ ОРГАНАМИ, ФЕДЕРАЛЬНЫМИ ОРГАНАМИ</w:t>
      </w:r>
    </w:p>
    <w:p>
      <w:pPr>
        <w:pStyle w:val="ConsPlusTitle"/>
        <w:ind w:left="0" w:hanging="0"/>
        <w:jc w:val="center"/>
        <w:rPr/>
      </w:pPr>
      <w:r>
        <w:rPr/>
        <w:t>ИСПОЛНИТЕЛЬНОЙ ВЛАСТИ, ВЫСШИМ ИСПОЛНИТЕЛЬНЫМ ОРГАНОМ</w:t>
      </w:r>
    </w:p>
    <w:p>
      <w:pPr>
        <w:pStyle w:val="ConsPlusTitle"/>
        <w:ind w:left="0" w:hanging="0"/>
        <w:jc w:val="center"/>
        <w:rPr/>
      </w:pPr>
      <w:r>
        <w:rPr/>
        <w:t>СУБЪЕКТА РОССИЙСКОЙ ФЕДЕРАЦИИ - ГОРОДА ФЕДЕРАЛЬНОГО</w:t>
      </w:r>
    </w:p>
    <w:p>
      <w:pPr>
        <w:pStyle w:val="ConsPlusTitle"/>
        <w:ind w:left="0" w:hanging="0"/>
        <w:jc w:val="center"/>
        <w:rPr/>
      </w:pPr>
      <w:r>
        <w:rPr/>
        <w:t>ЗНАЧЕНИЯ МОСКВЫ, ОРГАНИЗАЦИЯМИ, ИМЕЮЩИМИ</w:t>
      </w:r>
    </w:p>
    <w:p>
      <w:pPr>
        <w:pStyle w:val="ConsPlusTitle"/>
        <w:ind w:left="0" w:hanging="0"/>
        <w:jc w:val="center"/>
        <w:rPr/>
      </w:pPr>
      <w:r>
        <w:rPr/>
        <w:t>В СООТВЕТСТВИИ С ЗАКОНОДАТЕЛЬСТВОМ РОССИЙСКОЙ</w:t>
      </w:r>
    </w:p>
    <w:p>
      <w:pPr>
        <w:pStyle w:val="ConsPlusTitle"/>
        <w:ind w:left="0" w:hanging="0"/>
        <w:jc w:val="center"/>
        <w:rPr/>
      </w:pPr>
      <w:r>
        <w:rPr/>
        <w:t>ФЕДЕРАЦИИ ПРАВО НА СОЗДАНИЕ ВЕДОМСТВЕННОЙ ОХРАНЫ,</w:t>
      </w:r>
    </w:p>
    <w:p>
      <w:pPr>
        <w:pStyle w:val="ConsPlusTitle"/>
        <w:ind w:left="0" w:hanging="0"/>
        <w:jc w:val="center"/>
        <w:rPr/>
      </w:pPr>
      <w:r>
        <w:rPr/>
        <w:t>ВО ВРЕМЕННОЕ ПОЛЬЗОВАНИЕ, И НОРМЫ ОБЕСПЕЧЕНИЯ</w:t>
      </w:r>
    </w:p>
    <w:p>
      <w:pPr>
        <w:pStyle w:val="ConsPlusTitle"/>
        <w:ind w:left="0" w:hanging="0"/>
        <w:jc w:val="center"/>
        <w:rPr/>
      </w:pPr>
      <w:r>
        <w:rPr/>
        <w:t>ИМИ РАБОТНИКОВ ВЕДОМСТВЕННОЙ ОХРАНЫ</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b w:val="false"/>
                <w:b w:val="false"/>
              </w:rPr>
            </w:pPr>
            <w:r>
              <w:rPr>
                <w:b w:val="false"/>
              </w:rPr>
            </w:r>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Постановления Правительства РФ от 23.09.2024 N 1284)</w:t>
            </w:r>
          </w:p>
        </w:tc>
        <w:tc>
          <w:tcPr>
            <w:tcW w:w="113" w:type="dxa"/>
            <w:tcBorders/>
            <w:shd w:color="auto" w:fill="F4F3F8"/>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center"/>
        <w:rPr/>
      </w:pPr>
      <w:r>
        <w:rPr/>
      </w:r>
    </w:p>
    <w:p>
      <w:pPr>
        <w:pStyle w:val="ConsPlusTitle"/>
        <w:ind w:left="0" w:hanging="0"/>
        <w:jc w:val="center"/>
        <w:rPr/>
      </w:pPr>
      <w:r>
        <w:rPr/>
        <w:t>I. Отдельные типы и модели боевого ручного стрелкового</w:t>
      </w:r>
    </w:p>
    <w:p>
      <w:pPr>
        <w:pStyle w:val="ConsPlusTitle"/>
        <w:ind w:left="0" w:hanging="0"/>
        <w:jc w:val="center"/>
        <w:rPr/>
      </w:pPr>
      <w:r>
        <w:rPr/>
        <w:t>оружия и патроны к нему</w:t>
      </w:r>
    </w:p>
    <w:p>
      <w:pPr>
        <w:pStyle w:val="ConsPlusNormal"/>
        <w:ind w:left="0" w:firstLine="540"/>
        <w:jc w:val="both"/>
        <w:rPr/>
      </w:pPr>
      <w:r>
        <w:rPr/>
      </w:r>
    </w:p>
    <w:p>
      <w:pPr>
        <w:pStyle w:val="ConsPlusNormal"/>
        <w:ind w:left="0" w:firstLine="540"/>
        <w:jc w:val="both"/>
        <w:rPr/>
      </w:pPr>
      <w:bookmarkStart w:id="3" w:name="Par223"/>
      <w:bookmarkEnd w:id="3"/>
      <w:r>
        <w:rPr/>
        <w:t>1. 9-мм пистолет ПМ.</w:t>
      </w:r>
    </w:p>
    <w:p>
      <w:pPr>
        <w:pStyle w:val="ConsPlusNormal"/>
        <w:spacing w:before="240" w:after="0"/>
        <w:ind w:left="0" w:firstLine="540"/>
        <w:jc w:val="both"/>
        <w:rPr/>
      </w:pPr>
      <w:r>
        <w:rPr/>
        <w:t>2. 9-мм пистолет Ярыгина ПЯ.</w:t>
      </w:r>
    </w:p>
    <w:p>
      <w:pPr>
        <w:pStyle w:val="ConsPlusNormal"/>
        <w:spacing w:before="240" w:after="0"/>
        <w:ind w:left="0" w:firstLine="540"/>
        <w:jc w:val="both"/>
        <w:rPr/>
      </w:pPr>
      <w:r>
        <w:rPr/>
        <w:t>3. 9 x 19-мм пистолет Glock-17.</w:t>
      </w:r>
    </w:p>
    <w:p>
      <w:pPr>
        <w:pStyle w:val="ConsPlusNormal"/>
        <w:spacing w:before="240" w:after="0"/>
        <w:ind w:left="0" w:firstLine="540"/>
        <w:jc w:val="both"/>
        <w:rPr/>
      </w:pPr>
      <w:r>
        <w:rPr/>
        <w:t>4. 9 x 19-мм пистолет Glock-19.</w:t>
      </w:r>
    </w:p>
    <w:p>
      <w:pPr>
        <w:pStyle w:val="ConsPlusNormal"/>
        <w:spacing w:before="240" w:after="0"/>
        <w:ind w:left="0" w:firstLine="540"/>
        <w:jc w:val="both"/>
        <w:rPr/>
      </w:pPr>
      <w:r>
        <w:rPr/>
        <w:t>5. 9 x 19-мм пистолет Glock-26.</w:t>
      </w:r>
    </w:p>
    <w:p>
      <w:pPr>
        <w:pStyle w:val="ConsPlusNormal"/>
        <w:spacing w:before="240" w:after="0"/>
        <w:ind w:left="0" w:firstLine="540"/>
        <w:jc w:val="both"/>
        <w:rPr/>
      </w:pPr>
      <w:r>
        <w:rPr/>
        <w:t>6. 9-мм пистолет-пулемет ПП-19-01 исполнение 10 "Витязь".</w:t>
      </w:r>
    </w:p>
    <w:p>
      <w:pPr>
        <w:pStyle w:val="ConsPlusNormal"/>
        <w:spacing w:before="240" w:after="0"/>
        <w:ind w:left="0" w:firstLine="540"/>
        <w:jc w:val="both"/>
        <w:rPr/>
      </w:pPr>
      <w:r>
        <w:rPr/>
        <w:t>7. 9-мм пистолет-пулемет ПП-19-01 исполнение 20 "Витязь-СН".</w:t>
      </w:r>
    </w:p>
    <w:p>
      <w:pPr>
        <w:pStyle w:val="ConsPlusNormal"/>
        <w:spacing w:before="240" w:after="0"/>
        <w:ind w:left="0" w:firstLine="540"/>
        <w:jc w:val="both"/>
        <w:rPr/>
      </w:pPr>
      <w:r>
        <w:rPr/>
        <w:t>8. 9-мм пистолет-пулемет ПП-2000.</w:t>
      </w:r>
    </w:p>
    <w:p>
      <w:pPr>
        <w:pStyle w:val="ConsPlusNormal"/>
        <w:spacing w:before="240" w:after="0"/>
        <w:ind w:left="0" w:firstLine="540"/>
        <w:jc w:val="both"/>
        <w:rPr/>
      </w:pPr>
      <w:r>
        <w:rPr/>
        <w:t>9. 9-мм пистолет-пулемет ПП-91 "Кедр".</w:t>
      </w:r>
    </w:p>
    <w:p>
      <w:pPr>
        <w:pStyle w:val="ConsPlusNormal"/>
        <w:spacing w:before="240" w:after="0"/>
        <w:ind w:left="0" w:firstLine="540"/>
        <w:jc w:val="both"/>
        <w:rPr/>
      </w:pPr>
      <w:r>
        <w:rPr/>
        <w:t>10. 9-мм пистолет-пулемет ПП-93.</w:t>
      </w:r>
    </w:p>
    <w:p>
      <w:pPr>
        <w:pStyle w:val="ConsPlusNormal"/>
        <w:spacing w:before="240" w:after="0"/>
        <w:ind w:left="0" w:firstLine="540"/>
        <w:jc w:val="both"/>
        <w:rPr/>
      </w:pPr>
      <w:r>
        <w:rPr/>
        <w:t>11. 9-мм пистолет-пулемет ОЦ-2 "Кипарис".</w:t>
      </w:r>
    </w:p>
    <w:p>
      <w:pPr>
        <w:pStyle w:val="ConsPlusNormal"/>
        <w:spacing w:before="240" w:after="0"/>
        <w:ind w:left="0" w:firstLine="540"/>
        <w:jc w:val="both"/>
        <w:rPr/>
      </w:pPr>
      <w:r>
        <w:rPr/>
        <w:t>12. 9-мм пистолет-пулемет ПП-19 "Бизон-2-01".</w:t>
      </w:r>
    </w:p>
    <w:p>
      <w:pPr>
        <w:pStyle w:val="ConsPlusNormal"/>
        <w:spacing w:before="240" w:after="0"/>
        <w:ind w:left="0" w:firstLine="540"/>
        <w:jc w:val="both"/>
        <w:rPr/>
      </w:pPr>
      <w:bookmarkStart w:id="4" w:name="Par235"/>
      <w:bookmarkEnd w:id="4"/>
      <w:r>
        <w:rPr/>
        <w:t>13. 5,45-мм автомат АК-105.</w:t>
      </w:r>
    </w:p>
    <w:p>
      <w:pPr>
        <w:pStyle w:val="ConsPlusNormal"/>
        <w:spacing w:before="240" w:after="0"/>
        <w:ind w:left="0" w:firstLine="540"/>
        <w:jc w:val="both"/>
        <w:rPr/>
      </w:pPr>
      <w:r>
        <w:rPr/>
        <w:t>14. 5,45-мм автомат АК-205.</w:t>
      </w:r>
    </w:p>
    <w:p>
      <w:pPr>
        <w:pStyle w:val="ConsPlusNormal"/>
        <w:spacing w:before="240" w:after="0"/>
        <w:ind w:left="0" w:firstLine="540"/>
        <w:jc w:val="both"/>
        <w:rPr/>
      </w:pPr>
      <w:r>
        <w:rPr/>
        <w:t>15. 5,45-мм автомат АКС-74У.</w:t>
      </w:r>
    </w:p>
    <w:p>
      <w:pPr>
        <w:pStyle w:val="ConsPlusNormal"/>
        <w:spacing w:before="240" w:after="0"/>
        <w:ind w:left="0" w:firstLine="540"/>
        <w:jc w:val="both"/>
        <w:rPr/>
      </w:pPr>
      <w:r>
        <w:rPr/>
        <w:t>16. 5,45-мм автомат АКС-74.</w:t>
      </w:r>
    </w:p>
    <w:p>
      <w:pPr>
        <w:pStyle w:val="ConsPlusNormal"/>
        <w:spacing w:before="240" w:after="0"/>
        <w:ind w:left="0" w:firstLine="540"/>
        <w:jc w:val="both"/>
        <w:rPr/>
      </w:pPr>
      <w:r>
        <w:rPr/>
        <w:t>17. 5,45-мм автомат АК-74М.</w:t>
      </w:r>
    </w:p>
    <w:p>
      <w:pPr>
        <w:pStyle w:val="ConsPlusNormal"/>
        <w:spacing w:before="240" w:after="0"/>
        <w:ind w:left="0" w:firstLine="540"/>
        <w:jc w:val="both"/>
        <w:rPr/>
      </w:pPr>
      <w:r>
        <w:rPr/>
        <w:t>18. 7,62-мм автомат АКМС.</w:t>
      </w:r>
    </w:p>
    <w:p>
      <w:pPr>
        <w:pStyle w:val="ConsPlusNormal"/>
        <w:spacing w:before="240" w:after="0"/>
        <w:ind w:left="0" w:firstLine="540"/>
        <w:jc w:val="both"/>
        <w:rPr/>
      </w:pPr>
      <w:r>
        <w:rPr/>
        <w:t>19. 7,62-мм автомат АКМ.</w:t>
      </w:r>
    </w:p>
    <w:p>
      <w:pPr>
        <w:pStyle w:val="ConsPlusNormal"/>
        <w:spacing w:before="240" w:after="0"/>
        <w:ind w:left="0" w:firstLine="540"/>
        <w:jc w:val="both"/>
        <w:rPr/>
      </w:pPr>
      <w:r>
        <w:rPr/>
        <w:t>20. 7,62-мм автомат АК-103.</w:t>
      </w:r>
    </w:p>
    <w:p>
      <w:pPr>
        <w:pStyle w:val="ConsPlusNormal"/>
        <w:spacing w:before="240" w:after="0"/>
        <w:ind w:left="0" w:firstLine="540"/>
        <w:jc w:val="both"/>
        <w:rPr/>
      </w:pPr>
      <w:r>
        <w:rPr/>
        <w:t>21. 7,62-мм автомат АК-104.</w:t>
      </w:r>
    </w:p>
    <w:p>
      <w:pPr>
        <w:pStyle w:val="ConsPlusNormal"/>
        <w:spacing w:before="240" w:after="0"/>
        <w:ind w:left="0" w:firstLine="540"/>
        <w:jc w:val="both"/>
        <w:rPr/>
      </w:pPr>
      <w:r>
        <w:rPr/>
        <w:t>22. 7,62-мм пулемет Калашникова пехотный ПКП.</w:t>
      </w:r>
    </w:p>
    <w:p>
      <w:pPr>
        <w:pStyle w:val="ConsPlusNormal"/>
        <w:spacing w:before="240" w:after="0"/>
        <w:ind w:left="0" w:firstLine="540"/>
        <w:jc w:val="both"/>
        <w:rPr/>
      </w:pPr>
      <w:r>
        <w:rPr/>
        <w:t>23. 7,62-мм пулемет ПК.</w:t>
      </w:r>
    </w:p>
    <w:p>
      <w:pPr>
        <w:pStyle w:val="ConsPlusNormal"/>
        <w:spacing w:before="240" w:after="0"/>
        <w:ind w:left="0" w:firstLine="540"/>
        <w:jc w:val="both"/>
        <w:rPr/>
      </w:pPr>
      <w:r>
        <w:rPr/>
        <w:t>24. 7,62-мм пулемет ПКМ.</w:t>
      </w:r>
    </w:p>
    <w:p>
      <w:pPr>
        <w:pStyle w:val="ConsPlusNormal"/>
        <w:spacing w:before="240" w:after="0"/>
        <w:ind w:left="0" w:firstLine="540"/>
        <w:jc w:val="both"/>
        <w:rPr/>
      </w:pPr>
      <w:r>
        <w:rPr/>
        <w:t>25. 7,62-мм пулемет ПКС.</w:t>
      </w:r>
    </w:p>
    <w:p>
      <w:pPr>
        <w:pStyle w:val="ConsPlusNormal"/>
        <w:spacing w:before="240" w:after="0"/>
        <w:ind w:left="0" w:firstLine="540"/>
        <w:jc w:val="both"/>
        <w:rPr/>
      </w:pPr>
      <w:bookmarkStart w:id="5" w:name="Par248"/>
      <w:bookmarkEnd w:id="5"/>
      <w:r>
        <w:rPr/>
        <w:t>26. 7,62-мм пулемет ПКМС.</w:t>
      </w:r>
    </w:p>
    <w:p>
      <w:pPr>
        <w:pStyle w:val="ConsPlusNormal"/>
        <w:spacing w:before="240" w:after="0"/>
        <w:ind w:left="0" w:firstLine="540"/>
        <w:jc w:val="both"/>
        <w:rPr/>
      </w:pPr>
      <w:bookmarkStart w:id="6" w:name="Par249"/>
      <w:bookmarkEnd w:id="6"/>
      <w:r>
        <w:rPr/>
        <w:t>27. Иное боевое ручное стрелковое оружие, приобретенное в установленном порядке до вступления в силу Федерального закона "Об оружии".</w:t>
      </w:r>
    </w:p>
    <w:p>
      <w:pPr>
        <w:pStyle w:val="ConsPlusNormal"/>
        <w:spacing w:before="240" w:after="0"/>
        <w:ind w:left="0" w:firstLine="540"/>
        <w:jc w:val="both"/>
        <w:rPr/>
      </w:pPr>
      <w:r>
        <w:rPr/>
        <w:t xml:space="preserve">28. Учебные образцы боевого ручного стрелкового оружия, указанного в </w:t>
      </w:r>
      <w:hyperlink w:anchor="Par223" w:tgtFrame="1. 9-мм пистолет ПМ.">
        <w:r>
          <w:rPr>
            <w:color w:val="0000FF"/>
          </w:rPr>
          <w:t>пунктах 1</w:t>
        </w:r>
      </w:hyperlink>
      <w:r>
        <w:rPr/>
        <w:t xml:space="preserve"> - </w:t>
      </w:r>
      <w:hyperlink w:anchor="Par248" w:tgtFrame="26. 7,62-мм пулемет ПКМС.">
        <w:r>
          <w:rPr>
            <w:color w:val="0000FF"/>
          </w:rPr>
          <w:t>26</w:t>
        </w:r>
      </w:hyperlink>
      <w:r>
        <w:rPr/>
        <w:t xml:space="preserve"> настоящего перечня, и учебные патроны к нему.</w:t>
      </w:r>
    </w:p>
    <w:p>
      <w:pPr>
        <w:pStyle w:val="ConsPlusNormal"/>
        <w:spacing w:before="240" w:after="0"/>
        <w:ind w:left="0" w:firstLine="540"/>
        <w:jc w:val="both"/>
        <w:rPr/>
      </w:pPr>
      <w:r>
        <w:rPr/>
        <w:t xml:space="preserve">29. Патроны с обыкновенной пулей и холостые патроны к боевому ручному стрелковому оружию, указанному в </w:t>
      </w:r>
      <w:hyperlink w:anchor="Par223" w:tgtFrame="1. 9-мм пистолет ПМ.">
        <w:r>
          <w:rPr>
            <w:color w:val="0000FF"/>
          </w:rPr>
          <w:t>пунктах 1</w:t>
        </w:r>
      </w:hyperlink>
      <w:r>
        <w:rPr/>
        <w:t xml:space="preserve"> - </w:t>
      </w:r>
      <w:hyperlink w:anchor="Par249" w:tgtFrame="27. Иное боевое ручное стрелковое оружие, приобретенное в установленном порядке до вступления в силу Федерального закона \&quot;Об оружии\&quot;.">
        <w:r>
          <w:rPr>
            <w:color w:val="0000FF"/>
          </w:rPr>
          <w:t>27</w:t>
        </w:r>
      </w:hyperlink>
      <w:r>
        <w:rPr/>
        <w:t xml:space="preserve"> настоящего перечня.</w:t>
      </w:r>
    </w:p>
    <w:p>
      <w:pPr>
        <w:pStyle w:val="ConsPlusNormal"/>
        <w:spacing w:before="240" w:after="0"/>
        <w:ind w:left="0" w:firstLine="540"/>
        <w:jc w:val="both"/>
        <w:rPr/>
      </w:pPr>
      <w:r>
        <w:rPr/>
        <w:t xml:space="preserve">30. Патроны с трассирующей пулей к боевому ручному стрелковому оружию, указанному в </w:t>
      </w:r>
      <w:hyperlink w:anchor="Par235" w:tgtFrame="13. 5,45-мм автомат АК-105.">
        <w:r>
          <w:rPr>
            <w:color w:val="0000FF"/>
          </w:rPr>
          <w:t>пунктах 13</w:t>
        </w:r>
      </w:hyperlink>
      <w:r>
        <w:rPr/>
        <w:t xml:space="preserve"> - </w:t>
      </w:r>
      <w:hyperlink w:anchor="Par248" w:tgtFrame="26. 7,62-мм пулемет ПКМС.">
        <w:r>
          <w:rPr>
            <w:color w:val="0000FF"/>
          </w:rPr>
          <w:t>26</w:t>
        </w:r>
      </w:hyperlink>
      <w:r>
        <w:rPr/>
        <w:t xml:space="preserve"> настоящего перечня.</w:t>
      </w:r>
    </w:p>
    <w:p>
      <w:pPr>
        <w:pStyle w:val="ConsPlusNormal"/>
        <w:ind w:left="0" w:firstLine="540"/>
        <w:jc w:val="both"/>
        <w:rPr/>
      </w:pPr>
      <w:r>
        <w:rPr/>
      </w:r>
    </w:p>
    <w:p>
      <w:pPr>
        <w:pStyle w:val="ConsPlusTitle"/>
        <w:ind w:left="0" w:hanging="0"/>
        <w:jc w:val="center"/>
        <w:rPr/>
      </w:pPr>
      <w:r>
        <w:rPr/>
        <w:t>II. Нормы обеспечения отдельными типами и моделями боевого</w:t>
      </w:r>
    </w:p>
    <w:p>
      <w:pPr>
        <w:pStyle w:val="ConsPlusTitle"/>
        <w:ind w:left="0" w:hanging="0"/>
        <w:jc w:val="center"/>
        <w:rPr/>
      </w:pPr>
      <w:r>
        <w:rPr/>
        <w:t>ручного стрелкового оружия и патронами к нему</w:t>
      </w:r>
    </w:p>
    <w:p>
      <w:pPr>
        <w:pStyle w:val="ConsPlusNormal"/>
        <w:ind w:left="0" w:hanging="0"/>
        <w:jc w:val="center"/>
        <w:rPr/>
      </w:pPr>
      <w:r>
        <w:rPr/>
      </w:r>
    </w:p>
    <w:p>
      <w:pPr>
        <w:pStyle w:val="ConsPlusTitle"/>
        <w:ind w:left="0" w:hanging="0"/>
        <w:jc w:val="center"/>
        <w:rPr/>
      </w:pPr>
      <w:r>
        <w:rPr/>
        <w:t>1. Боевое ручное стрелковое оружие</w:t>
      </w:r>
    </w:p>
    <w:p>
      <w:pPr>
        <w:pStyle w:val="ConsPlusNormal"/>
        <w:ind w:left="0" w:firstLine="540"/>
        <w:jc w:val="both"/>
        <w:rPr/>
      </w:pPr>
      <w:r>
        <w:rPr/>
      </w:r>
    </w:p>
    <w:tbl>
      <w:tblPr>
        <w:tblW w:w="9047" w:type="dxa"/>
        <w:jc w:val="left"/>
        <w:tblInd w:w="62" w:type="dxa"/>
        <w:tblCellMar>
          <w:top w:w="102" w:type="dxa"/>
          <w:left w:w="62" w:type="dxa"/>
          <w:bottom w:w="102" w:type="dxa"/>
          <w:right w:w="62" w:type="dxa"/>
        </w:tblCellMar>
      </w:tblPr>
      <w:tblGrid>
        <w:gridCol w:w="510"/>
        <w:gridCol w:w="3659"/>
        <w:gridCol w:w="1191"/>
        <w:gridCol w:w="341"/>
        <w:gridCol w:w="339"/>
        <w:gridCol w:w="1556"/>
        <w:gridCol w:w="1450"/>
      </w:tblGrid>
      <w:tr>
        <w:trPr/>
        <w:tc>
          <w:tcPr>
            <w:tcW w:w="4169" w:type="dxa"/>
            <w:gridSpan w:val="2"/>
            <w:tcBorders>
              <w:top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Категория работника</w:t>
            </w:r>
          </w:p>
        </w:tc>
        <w:tc>
          <w:tcPr>
            <w:tcW w:w="153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Пистолет-пулемет</w:t>
            </w:r>
          </w:p>
        </w:tc>
        <w:tc>
          <w:tcPr>
            <w:tcW w:w="1895"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Автомат</w:t>
            </w:r>
          </w:p>
        </w:tc>
        <w:tc>
          <w:tcPr>
            <w:tcW w:w="1450" w:type="dxa"/>
            <w:tcBorders>
              <w:top w:val="single" w:sz="4" w:space="0" w:color="000000"/>
              <w:left w:val="single" w:sz="4" w:space="0" w:color="000000"/>
              <w:bottom w:val="single" w:sz="4" w:space="0" w:color="000000"/>
            </w:tcBorders>
          </w:tcPr>
          <w:p>
            <w:pPr>
              <w:pStyle w:val="ConsPlusNormal"/>
              <w:tabs>
                <w:tab w:val="clear" w:pos="720"/>
              </w:tabs>
              <w:ind w:left="0" w:hanging="0"/>
              <w:jc w:val="center"/>
              <w:rPr>
                <w:b w:val="false"/>
                <w:b w:val="false"/>
              </w:rPr>
            </w:pPr>
            <w:r>
              <w:rPr/>
              <w:t>Пулемет</w:t>
            </w:r>
          </w:p>
        </w:tc>
      </w:tr>
      <w:tr>
        <w:trPr/>
        <w:tc>
          <w:tcPr>
            <w:tcW w:w="510" w:type="dxa"/>
            <w:tcBorders>
              <w:top w:val="single" w:sz="4" w:space="0" w:color="000000"/>
            </w:tcBorders>
          </w:tcPr>
          <w:p>
            <w:pPr>
              <w:pStyle w:val="ConsPlusNormal"/>
              <w:tabs>
                <w:tab w:val="clear" w:pos="720"/>
              </w:tabs>
              <w:ind w:left="0" w:hanging="0"/>
              <w:jc w:val="center"/>
              <w:rPr>
                <w:b w:val="false"/>
                <w:b w:val="false"/>
              </w:rPr>
            </w:pPr>
            <w:r>
              <w:rPr/>
              <w:t>1.</w:t>
            </w:r>
          </w:p>
        </w:tc>
        <w:tc>
          <w:tcPr>
            <w:tcW w:w="3659" w:type="dxa"/>
            <w:tcBorders>
              <w:top w:val="single" w:sz="4" w:space="0" w:color="000000"/>
            </w:tcBorders>
            <w:vAlign w:val="bottom"/>
          </w:tcPr>
          <w:p>
            <w:pPr>
              <w:pStyle w:val="ConsPlusNormal"/>
              <w:tabs>
                <w:tab w:val="clear" w:pos="720"/>
              </w:tabs>
              <w:ind w:left="0" w:hanging="0"/>
              <w:jc w:val="left"/>
              <w:rPr>
                <w:b w:val="false"/>
                <w:b w:val="false"/>
              </w:rPr>
            </w:pPr>
            <w:r>
              <w:rPr/>
              <w:t>Начальник смены (заместитель начальника смены)</w:t>
            </w:r>
          </w:p>
        </w:tc>
        <w:tc>
          <w:tcPr>
            <w:tcW w:w="1191" w:type="dxa"/>
            <w:tcBorders>
              <w:top w:val="single" w:sz="4" w:space="0" w:color="000000"/>
            </w:tcBorders>
          </w:tcPr>
          <w:p>
            <w:pPr>
              <w:pStyle w:val="ConsPlusNormal"/>
              <w:tabs>
                <w:tab w:val="clear" w:pos="720"/>
              </w:tabs>
              <w:ind w:left="0" w:hanging="0"/>
              <w:jc w:val="center"/>
              <w:rPr>
                <w:b w:val="false"/>
                <w:b w:val="false"/>
              </w:rPr>
            </w:pPr>
            <w:r>
              <w:rPr/>
              <w:t>1</w:t>
            </w:r>
          </w:p>
        </w:tc>
        <w:tc>
          <w:tcPr>
            <w:tcW w:w="680" w:type="dxa"/>
            <w:gridSpan w:val="2"/>
            <w:tcBorders>
              <w:top w:val="single" w:sz="4" w:space="0" w:color="000000"/>
            </w:tcBorders>
          </w:tcPr>
          <w:p>
            <w:pPr>
              <w:pStyle w:val="ConsPlusNormal"/>
              <w:tabs>
                <w:tab w:val="clear" w:pos="720"/>
              </w:tabs>
              <w:ind w:left="0" w:hanging="0"/>
              <w:jc w:val="center"/>
              <w:rPr>
                <w:b w:val="false"/>
                <w:b w:val="false"/>
              </w:rPr>
            </w:pPr>
            <w:r>
              <w:rPr>
                <w:b w:val="false"/>
              </w:rPr>
            </w:r>
          </w:p>
        </w:tc>
        <w:tc>
          <w:tcPr>
            <w:tcW w:w="1556" w:type="dxa"/>
            <w:tcBorders>
              <w:top w:val="single" w:sz="4" w:space="0" w:color="000000"/>
            </w:tcBorders>
          </w:tcPr>
          <w:p>
            <w:pPr>
              <w:pStyle w:val="ConsPlusNormal"/>
              <w:tabs>
                <w:tab w:val="clear" w:pos="720"/>
              </w:tabs>
              <w:ind w:left="0" w:hanging="0"/>
              <w:jc w:val="center"/>
              <w:rPr>
                <w:b w:val="false"/>
                <w:b w:val="false"/>
              </w:rPr>
            </w:pPr>
            <w:r>
              <w:rPr/>
              <w:t>-</w:t>
            </w:r>
          </w:p>
        </w:tc>
        <w:tc>
          <w:tcPr>
            <w:tcW w:w="1450" w:type="dxa"/>
            <w:tcBorders>
              <w:top w:val="single" w:sz="4" w:space="0" w:color="000000"/>
            </w:tcBorders>
          </w:tcPr>
          <w:p>
            <w:pPr>
              <w:pStyle w:val="ConsPlusNormal"/>
              <w:tabs>
                <w:tab w:val="clear" w:pos="720"/>
              </w:tabs>
              <w:ind w:left="0" w:hanging="0"/>
              <w:jc w:val="center"/>
              <w:rPr>
                <w:b w:val="false"/>
                <w:b w:val="false"/>
              </w:rPr>
            </w:pPr>
            <w:r>
              <w:rPr/>
              <w:t>-</w:t>
            </w:r>
          </w:p>
        </w:tc>
      </w:tr>
      <w:tr>
        <w:trPr/>
        <w:tc>
          <w:tcPr>
            <w:tcW w:w="510" w:type="dxa"/>
            <w:tcBorders/>
          </w:tcPr>
          <w:p>
            <w:pPr>
              <w:pStyle w:val="ConsPlusNormal"/>
              <w:tabs>
                <w:tab w:val="clear" w:pos="720"/>
              </w:tabs>
              <w:ind w:left="0" w:hanging="0"/>
              <w:jc w:val="center"/>
              <w:rPr>
                <w:b w:val="false"/>
                <w:b w:val="false"/>
              </w:rPr>
            </w:pPr>
            <w:r>
              <w:rPr/>
              <w:t>2.</w:t>
            </w:r>
          </w:p>
        </w:tc>
        <w:tc>
          <w:tcPr>
            <w:tcW w:w="3659" w:type="dxa"/>
            <w:tcBorders/>
            <w:vAlign w:val="center"/>
          </w:tcPr>
          <w:p>
            <w:pPr>
              <w:pStyle w:val="ConsPlusNormal"/>
              <w:tabs>
                <w:tab w:val="clear" w:pos="720"/>
              </w:tabs>
              <w:ind w:left="0" w:hanging="0"/>
              <w:jc w:val="left"/>
              <w:rPr>
                <w:b w:val="false"/>
                <w:b w:val="false"/>
              </w:rPr>
            </w:pPr>
            <w:r>
              <w:rPr/>
              <w:t>Дежурный (помощник дежурного) по подразделению для хранения и усиления охраны дежурных помещений ведомственной охраны и места хранения оружия</w:t>
            </w:r>
          </w:p>
        </w:tc>
        <w:tc>
          <w:tcPr>
            <w:tcW w:w="1191" w:type="dxa"/>
            <w:tcBorders/>
          </w:tcPr>
          <w:p>
            <w:pPr>
              <w:pStyle w:val="ConsPlusNormal"/>
              <w:tabs>
                <w:tab w:val="clear" w:pos="720"/>
              </w:tabs>
              <w:ind w:left="0" w:hanging="0"/>
              <w:jc w:val="center"/>
              <w:rPr>
                <w:b w:val="false"/>
                <w:b w:val="false"/>
              </w:rPr>
            </w:pPr>
            <w:r>
              <w:rPr/>
              <w:t>1</w:t>
            </w:r>
          </w:p>
        </w:tc>
        <w:tc>
          <w:tcPr>
            <w:tcW w:w="680" w:type="dxa"/>
            <w:gridSpan w:val="2"/>
            <w:tcBorders/>
          </w:tcPr>
          <w:p>
            <w:pPr>
              <w:pStyle w:val="ConsPlusNormal"/>
              <w:tabs>
                <w:tab w:val="clear" w:pos="720"/>
              </w:tabs>
              <w:ind w:left="0" w:hanging="0"/>
              <w:jc w:val="center"/>
              <w:rPr>
                <w:b w:val="false"/>
                <w:b w:val="false"/>
              </w:rPr>
            </w:pPr>
            <w:r>
              <w:rPr/>
              <w:t>или</w:t>
            </w:r>
          </w:p>
        </w:tc>
        <w:tc>
          <w:tcPr>
            <w:tcW w:w="1556" w:type="dxa"/>
            <w:tcBorders/>
          </w:tcPr>
          <w:p>
            <w:pPr>
              <w:pStyle w:val="ConsPlusNormal"/>
              <w:tabs>
                <w:tab w:val="clear" w:pos="720"/>
              </w:tabs>
              <w:ind w:left="0" w:hanging="0"/>
              <w:jc w:val="center"/>
              <w:rPr>
                <w:b w:val="false"/>
                <w:b w:val="false"/>
              </w:rPr>
            </w:pPr>
            <w:r>
              <w:rPr/>
              <w:t>1</w:t>
            </w:r>
          </w:p>
        </w:tc>
        <w:tc>
          <w:tcPr>
            <w:tcW w:w="1450" w:type="dxa"/>
            <w:tcBorders/>
          </w:tcPr>
          <w:p>
            <w:pPr>
              <w:pStyle w:val="ConsPlusNormal"/>
              <w:tabs>
                <w:tab w:val="clear" w:pos="720"/>
              </w:tabs>
              <w:ind w:left="0" w:hanging="0"/>
              <w:jc w:val="center"/>
              <w:rPr>
                <w:b w:val="false"/>
                <w:b w:val="false"/>
              </w:rPr>
            </w:pPr>
            <w:r>
              <w:rPr/>
              <w:t>-</w:t>
            </w:r>
          </w:p>
        </w:tc>
      </w:tr>
      <w:tr>
        <w:trPr/>
        <w:tc>
          <w:tcPr>
            <w:tcW w:w="510" w:type="dxa"/>
            <w:tcBorders/>
          </w:tcPr>
          <w:p>
            <w:pPr>
              <w:pStyle w:val="ConsPlusNormal"/>
              <w:tabs>
                <w:tab w:val="clear" w:pos="720"/>
              </w:tabs>
              <w:ind w:left="0" w:hanging="0"/>
              <w:jc w:val="center"/>
              <w:rPr>
                <w:b w:val="false"/>
                <w:b w:val="false"/>
              </w:rPr>
            </w:pPr>
            <w:r>
              <w:rPr/>
              <w:t>3.</w:t>
            </w:r>
          </w:p>
        </w:tc>
        <w:tc>
          <w:tcPr>
            <w:tcW w:w="3659" w:type="dxa"/>
            <w:tcBorders/>
            <w:vAlign w:val="bottom"/>
          </w:tcPr>
          <w:p>
            <w:pPr>
              <w:pStyle w:val="ConsPlusNormal"/>
              <w:tabs>
                <w:tab w:val="clear" w:pos="720"/>
              </w:tabs>
              <w:ind w:left="0" w:hanging="0"/>
              <w:jc w:val="left"/>
              <w:rPr/>
            </w:pPr>
            <w:r>
              <w:rPr/>
              <w:t xml:space="preserve">Работник, включенный в состав резервной группы по поиску и задержанию лиц, совершивших преступление на охраняемом объекте, или отражению вооруженного нападения </w:t>
            </w:r>
            <w:hyperlink w:anchor="Par319" w:tgtFrame="&lt;1&gt; Создаются согласно структуре ведомственной охраны, предусмотренной положением о ведомственной охране, утверждаемым Правительством Российской Федерации. Количество работников, включаемых в ежесуточный состав резервной группы, устанавливается по согласованию с территориальным органом Федеральной службы войск национальной гвардии Российской Федерации.">
              <w:r>
                <w:rPr>
                  <w:color w:val="0000FF"/>
                </w:rPr>
                <w:t>&lt;1&gt;</w:t>
              </w:r>
            </w:hyperlink>
            <w:r>
              <w:rPr/>
              <w:t xml:space="preserve"> (на каждого работника, включенного в резервную группу)</w:t>
            </w:r>
          </w:p>
        </w:tc>
        <w:tc>
          <w:tcPr>
            <w:tcW w:w="1191" w:type="dxa"/>
            <w:tcBorders/>
          </w:tcPr>
          <w:p>
            <w:pPr>
              <w:pStyle w:val="ConsPlusNormal"/>
              <w:tabs>
                <w:tab w:val="clear" w:pos="720"/>
              </w:tabs>
              <w:ind w:left="0" w:hanging="0"/>
              <w:jc w:val="center"/>
              <w:rPr>
                <w:b w:val="false"/>
                <w:b w:val="false"/>
              </w:rPr>
            </w:pPr>
            <w:r>
              <w:rPr/>
              <w:t>1</w:t>
            </w:r>
          </w:p>
        </w:tc>
        <w:tc>
          <w:tcPr>
            <w:tcW w:w="680" w:type="dxa"/>
            <w:gridSpan w:val="2"/>
            <w:tcBorders/>
          </w:tcPr>
          <w:p>
            <w:pPr>
              <w:pStyle w:val="ConsPlusNormal"/>
              <w:tabs>
                <w:tab w:val="clear" w:pos="720"/>
              </w:tabs>
              <w:ind w:left="0" w:hanging="0"/>
              <w:jc w:val="center"/>
              <w:rPr>
                <w:b w:val="false"/>
                <w:b w:val="false"/>
              </w:rPr>
            </w:pPr>
            <w:r>
              <w:rPr/>
              <w:t>или</w:t>
            </w:r>
          </w:p>
        </w:tc>
        <w:tc>
          <w:tcPr>
            <w:tcW w:w="1556" w:type="dxa"/>
            <w:tcBorders/>
          </w:tcPr>
          <w:p>
            <w:pPr>
              <w:pStyle w:val="ConsPlusNormal"/>
              <w:tabs>
                <w:tab w:val="clear" w:pos="720"/>
              </w:tabs>
              <w:ind w:left="0" w:hanging="0"/>
              <w:jc w:val="center"/>
              <w:rPr>
                <w:b w:val="false"/>
                <w:b w:val="false"/>
              </w:rPr>
            </w:pPr>
            <w:r>
              <w:rPr/>
              <w:t>1</w:t>
            </w:r>
          </w:p>
        </w:tc>
        <w:tc>
          <w:tcPr>
            <w:tcW w:w="1450" w:type="dxa"/>
            <w:tcBorders/>
          </w:tcPr>
          <w:p>
            <w:pPr>
              <w:pStyle w:val="ConsPlusNormal"/>
              <w:tabs>
                <w:tab w:val="clear" w:pos="720"/>
              </w:tabs>
              <w:ind w:left="0" w:hanging="0"/>
              <w:jc w:val="center"/>
              <w:rPr/>
            </w:pPr>
            <w:r>
              <w:rPr/>
              <w:t xml:space="preserve">1 </w:t>
            </w:r>
            <w:hyperlink w:anchor="Par320" w:tgtFrame="&lt;2&gt; Пулемет выдается взамен автомата.">
              <w:r>
                <w:rPr>
                  <w:color w:val="0000FF"/>
                </w:rPr>
                <w:t>&lt;2&gt;</w:t>
              </w:r>
            </w:hyperlink>
          </w:p>
        </w:tc>
      </w:tr>
      <w:tr>
        <w:trPr/>
        <w:tc>
          <w:tcPr>
            <w:tcW w:w="510" w:type="dxa"/>
            <w:tcBorders/>
          </w:tcPr>
          <w:p>
            <w:pPr>
              <w:pStyle w:val="ConsPlusNormal"/>
              <w:tabs>
                <w:tab w:val="clear" w:pos="720"/>
              </w:tabs>
              <w:ind w:left="0" w:hanging="0"/>
              <w:jc w:val="center"/>
              <w:rPr>
                <w:b w:val="false"/>
                <w:b w:val="false"/>
              </w:rPr>
            </w:pPr>
            <w:r>
              <w:rPr/>
              <w:t>4.</w:t>
            </w:r>
          </w:p>
        </w:tc>
        <w:tc>
          <w:tcPr>
            <w:tcW w:w="3659" w:type="dxa"/>
            <w:tcBorders/>
            <w:vAlign w:val="bottom"/>
          </w:tcPr>
          <w:p>
            <w:pPr>
              <w:pStyle w:val="ConsPlusNormal"/>
              <w:tabs>
                <w:tab w:val="clear" w:pos="720"/>
              </w:tabs>
              <w:ind w:left="0" w:hanging="0"/>
              <w:jc w:val="left"/>
              <w:rPr>
                <w:b w:val="false"/>
                <w:b w:val="false"/>
              </w:rPr>
            </w:pPr>
            <w:r>
              <w:rPr/>
              <w:t>Работник, включенный в состав резервной группы по усилению постов, обеспечивающих пропускной и внутриобъектовый режимы на охраняемом объекте</w:t>
            </w:r>
          </w:p>
        </w:tc>
        <w:tc>
          <w:tcPr>
            <w:tcW w:w="1191" w:type="dxa"/>
            <w:tcBorders/>
          </w:tcPr>
          <w:p>
            <w:pPr>
              <w:pStyle w:val="ConsPlusNormal"/>
              <w:tabs>
                <w:tab w:val="clear" w:pos="720"/>
              </w:tabs>
              <w:ind w:left="0" w:hanging="0"/>
              <w:jc w:val="center"/>
              <w:rPr>
                <w:b w:val="false"/>
                <w:b w:val="false"/>
              </w:rPr>
            </w:pPr>
            <w:r>
              <w:rPr/>
              <w:t>из расчета 1 единица на пост</w:t>
            </w:r>
          </w:p>
        </w:tc>
        <w:tc>
          <w:tcPr>
            <w:tcW w:w="680" w:type="dxa"/>
            <w:gridSpan w:val="2"/>
            <w:tcBorders/>
          </w:tcPr>
          <w:p>
            <w:pPr>
              <w:pStyle w:val="ConsPlusNormal"/>
              <w:tabs>
                <w:tab w:val="clear" w:pos="720"/>
              </w:tabs>
              <w:ind w:left="0" w:hanging="0"/>
              <w:jc w:val="center"/>
              <w:rPr>
                <w:b w:val="false"/>
                <w:b w:val="false"/>
              </w:rPr>
            </w:pPr>
            <w:r>
              <w:rPr>
                <w:b w:val="false"/>
              </w:rPr>
            </w:r>
          </w:p>
        </w:tc>
        <w:tc>
          <w:tcPr>
            <w:tcW w:w="1556" w:type="dxa"/>
            <w:tcBorders/>
          </w:tcPr>
          <w:p>
            <w:pPr>
              <w:pStyle w:val="ConsPlusNormal"/>
              <w:tabs>
                <w:tab w:val="clear" w:pos="720"/>
              </w:tabs>
              <w:ind w:left="0" w:hanging="0"/>
              <w:jc w:val="center"/>
              <w:rPr>
                <w:b w:val="false"/>
                <w:b w:val="false"/>
              </w:rPr>
            </w:pPr>
            <w:r>
              <w:rPr/>
              <w:t>-</w:t>
            </w:r>
          </w:p>
        </w:tc>
        <w:tc>
          <w:tcPr>
            <w:tcW w:w="1450" w:type="dxa"/>
            <w:tcBorders/>
          </w:tcPr>
          <w:p>
            <w:pPr>
              <w:pStyle w:val="ConsPlusNormal"/>
              <w:tabs>
                <w:tab w:val="clear" w:pos="720"/>
              </w:tabs>
              <w:ind w:left="0" w:hanging="0"/>
              <w:jc w:val="center"/>
              <w:rPr>
                <w:b w:val="false"/>
                <w:b w:val="false"/>
              </w:rPr>
            </w:pPr>
            <w:r>
              <w:rPr/>
              <w:t>-</w:t>
            </w:r>
          </w:p>
        </w:tc>
      </w:tr>
      <w:tr>
        <w:trPr/>
        <w:tc>
          <w:tcPr>
            <w:tcW w:w="510" w:type="dxa"/>
            <w:tcBorders/>
          </w:tcPr>
          <w:p>
            <w:pPr>
              <w:pStyle w:val="ConsPlusNormal"/>
              <w:tabs>
                <w:tab w:val="clear" w:pos="720"/>
              </w:tabs>
              <w:ind w:left="0" w:hanging="0"/>
              <w:jc w:val="center"/>
              <w:rPr>
                <w:b w:val="false"/>
                <w:b w:val="false"/>
              </w:rPr>
            </w:pPr>
            <w:r>
              <w:rPr/>
              <w:t>5.</w:t>
            </w:r>
          </w:p>
        </w:tc>
        <w:tc>
          <w:tcPr>
            <w:tcW w:w="3659" w:type="dxa"/>
            <w:tcBorders/>
            <w:vAlign w:val="bottom"/>
          </w:tcPr>
          <w:p>
            <w:pPr>
              <w:pStyle w:val="ConsPlusNormal"/>
              <w:tabs>
                <w:tab w:val="clear" w:pos="720"/>
              </w:tabs>
              <w:ind w:left="0" w:hanging="0"/>
              <w:jc w:val="left"/>
              <w:rPr>
                <w:b w:val="false"/>
                <w:b w:val="false"/>
              </w:rPr>
            </w:pPr>
            <w:r>
              <w:rPr/>
              <w:t>Работник, включенный в состав резервной группы по усилению постов, обеспечивающих охрану объекта на наружных (внешних) постах</w:t>
            </w:r>
          </w:p>
        </w:tc>
        <w:tc>
          <w:tcPr>
            <w:tcW w:w="1191" w:type="dxa"/>
            <w:tcBorders/>
          </w:tcPr>
          <w:p>
            <w:pPr>
              <w:pStyle w:val="ConsPlusNormal"/>
              <w:tabs>
                <w:tab w:val="clear" w:pos="720"/>
              </w:tabs>
              <w:ind w:left="0" w:hanging="0"/>
              <w:jc w:val="center"/>
              <w:rPr>
                <w:b w:val="false"/>
                <w:b w:val="false"/>
              </w:rPr>
            </w:pPr>
            <w:r>
              <w:rPr/>
              <w:t>-</w:t>
            </w:r>
          </w:p>
        </w:tc>
        <w:tc>
          <w:tcPr>
            <w:tcW w:w="680" w:type="dxa"/>
            <w:gridSpan w:val="2"/>
            <w:tcBorders/>
          </w:tcPr>
          <w:p>
            <w:pPr>
              <w:pStyle w:val="ConsPlusNormal"/>
              <w:tabs>
                <w:tab w:val="clear" w:pos="720"/>
              </w:tabs>
              <w:ind w:left="0" w:hanging="0"/>
              <w:jc w:val="center"/>
              <w:rPr>
                <w:b w:val="false"/>
                <w:b w:val="false"/>
              </w:rPr>
            </w:pPr>
            <w:r>
              <w:rPr>
                <w:b w:val="false"/>
              </w:rPr>
            </w:r>
          </w:p>
        </w:tc>
        <w:tc>
          <w:tcPr>
            <w:tcW w:w="1556" w:type="dxa"/>
            <w:tcBorders/>
          </w:tcPr>
          <w:p>
            <w:pPr>
              <w:pStyle w:val="ConsPlusNormal"/>
              <w:tabs>
                <w:tab w:val="clear" w:pos="720"/>
              </w:tabs>
              <w:ind w:left="0" w:hanging="0"/>
              <w:jc w:val="center"/>
              <w:rPr>
                <w:b w:val="false"/>
                <w:b w:val="false"/>
              </w:rPr>
            </w:pPr>
            <w:r>
              <w:rPr/>
              <w:t>из расчета 1 единица на пост</w:t>
            </w:r>
          </w:p>
        </w:tc>
        <w:tc>
          <w:tcPr>
            <w:tcW w:w="1450" w:type="dxa"/>
            <w:tcBorders/>
          </w:tcPr>
          <w:p>
            <w:pPr>
              <w:pStyle w:val="ConsPlusNormal"/>
              <w:tabs>
                <w:tab w:val="clear" w:pos="720"/>
              </w:tabs>
              <w:ind w:left="0" w:hanging="0"/>
              <w:jc w:val="center"/>
              <w:rPr/>
            </w:pPr>
            <w:r>
              <w:rPr/>
              <w:t xml:space="preserve">из расчета 1 единица на пост </w:t>
            </w:r>
            <w:hyperlink w:anchor="Par320" w:tgtFrame="&lt;2&gt; Пулемет выдается взамен автомата.">
              <w:r>
                <w:rPr>
                  <w:color w:val="0000FF"/>
                </w:rPr>
                <w:t>&lt;2&gt;</w:t>
              </w:r>
            </w:hyperlink>
          </w:p>
        </w:tc>
      </w:tr>
      <w:tr>
        <w:trPr/>
        <w:tc>
          <w:tcPr>
            <w:tcW w:w="510" w:type="dxa"/>
            <w:tcBorders/>
          </w:tcPr>
          <w:p>
            <w:pPr>
              <w:pStyle w:val="ConsPlusNormal"/>
              <w:tabs>
                <w:tab w:val="clear" w:pos="720"/>
              </w:tabs>
              <w:ind w:left="0" w:hanging="0"/>
              <w:jc w:val="center"/>
              <w:rPr>
                <w:b w:val="false"/>
                <w:b w:val="false"/>
              </w:rPr>
            </w:pPr>
            <w:r>
              <w:rPr/>
              <w:t>6.</w:t>
            </w:r>
          </w:p>
        </w:tc>
        <w:tc>
          <w:tcPr>
            <w:tcW w:w="3659" w:type="dxa"/>
            <w:tcBorders/>
            <w:vAlign w:val="bottom"/>
          </w:tcPr>
          <w:p>
            <w:pPr>
              <w:pStyle w:val="ConsPlusNormal"/>
              <w:tabs>
                <w:tab w:val="clear" w:pos="720"/>
              </w:tabs>
              <w:ind w:left="0" w:hanging="0"/>
              <w:jc w:val="left"/>
              <w:rPr>
                <w:b w:val="false"/>
                <w:b w:val="false"/>
              </w:rPr>
            </w:pPr>
            <w:r>
              <w:rPr/>
              <w:t>Работник, обеспечивающий пропускной и внутриобъектовый режимы на внутренних постах на охраняемом объекте</w:t>
            </w:r>
          </w:p>
        </w:tc>
        <w:tc>
          <w:tcPr>
            <w:tcW w:w="1191" w:type="dxa"/>
            <w:tcBorders/>
          </w:tcPr>
          <w:p>
            <w:pPr>
              <w:pStyle w:val="ConsPlusNormal"/>
              <w:tabs>
                <w:tab w:val="clear" w:pos="720"/>
              </w:tabs>
              <w:ind w:left="0" w:hanging="0"/>
              <w:jc w:val="center"/>
              <w:rPr>
                <w:b w:val="false"/>
                <w:b w:val="false"/>
              </w:rPr>
            </w:pPr>
            <w:r>
              <w:rPr/>
              <w:t>из расчета 2 единицы на пост</w:t>
            </w:r>
          </w:p>
        </w:tc>
        <w:tc>
          <w:tcPr>
            <w:tcW w:w="680" w:type="dxa"/>
            <w:gridSpan w:val="2"/>
            <w:tcBorders/>
          </w:tcPr>
          <w:p>
            <w:pPr>
              <w:pStyle w:val="ConsPlusNormal"/>
              <w:tabs>
                <w:tab w:val="clear" w:pos="720"/>
              </w:tabs>
              <w:ind w:left="0" w:hanging="0"/>
              <w:jc w:val="center"/>
              <w:rPr>
                <w:b w:val="false"/>
                <w:b w:val="false"/>
              </w:rPr>
            </w:pPr>
            <w:r>
              <w:rPr>
                <w:b w:val="false"/>
              </w:rPr>
            </w:r>
          </w:p>
        </w:tc>
        <w:tc>
          <w:tcPr>
            <w:tcW w:w="1556" w:type="dxa"/>
            <w:tcBorders/>
          </w:tcPr>
          <w:p>
            <w:pPr>
              <w:pStyle w:val="ConsPlusNormal"/>
              <w:tabs>
                <w:tab w:val="clear" w:pos="720"/>
              </w:tabs>
              <w:ind w:left="0" w:hanging="0"/>
              <w:jc w:val="center"/>
              <w:rPr>
                <w:b w:val="false"/>
                <w:b w:val="false"/>
              </w:rPr>
            </w:pPr>
            <w:r>
              <w:rPr/>
              <w:t>-</w:t>
            </w:r>
          </w:p>
        </w:tc>
        <w:tc>
          <w:tcPr>
            <w:tcW w:w="1450" w:type="dxa"/>
            <w:tcBorders/>
          </w:tcPr>
          <w:p>
            <w:pPr>
              <w:pStyle w:val="ConsPlusNormal"/>
              <w:tabs>
                <w:tab w:val="clear" w:pos="720"/>
              </w:tabs>
              <w:ind w:left="0" w:hanging="0"/>
              <w:jc w:val="center"/>
              <w:rPr>
                <w:b w:val="false"/>
                <w:b w:val="false"/>
              </w:rPr>
            </w:pPr>
            <w:r>
              <w:rPr/>
              <w:t>-</w:t>
            </w:r>
          </w:p>
        </w:tc>
      </w:tr>
      <w:tr>
        <w:trPr/>
        <w:tc>
          <w:tcPr>
            <w:tcW w:w="510" w:type="dxa"/>
            <w:tcBorders/>
          </w:tcPr>
          <w:p>
            <w:pPr>
              <w:pStyle w:val="ConsPlusNormal"/>
              <w:tabs>
                <w:tab w:val="clear" w:pos="720"/>
              </w:tabs>
              <w:ind w:left="0" w:hanging="0"/>
              <w:jc w:val="center"/>
              <w:rPr>
                <w:b w:val="false"/>
                <w:b w:val="false"/>
              </w:rPr>
            </w:pPr>
            <w:r>
              <w:rPr/>
              <w:t>7.</w:t>
            </w:r>
          </w:p>
        </w:tc>
        <w:tc>
          <w:tcPr>
            <w:tcW w:w="3659" w:type="dxa"/>
            <w:tcBorders/>
            <w:vAlign w:val="bottom"/>
          </w:tcPr>
          <w:p>
            <w:pPr>
              <w:pStyle w:val="ConsPlusNormal"/>
              <w:tabs>
                <w:tab w:val="clear" w:pos="720"/>
              </w:tabs>
              <w:ind w:left="0" w:hanging="0"/>
              <w:jc w:val="left"/>
              <w:rPr>
                <w:b w:val="false"/>
                <w:b w:val="false"/>
              </w:rPr>
            </w:pPr>
            <w:r>
              <w:rPr/>
              <w:t>Работник, обеспечивающий пропускной и внутриобъектовый режимы на наружных (внешних) постах на охраняемом объекте</w:t>
            </w:r>
          </w:p>
        </w:tc>
        <w:tc>
          <w:tcPr>
            <w:tcW w:w="1191" w:type="dxa"/>
            <w:tcBorders/>
          </w:tcPr>
          <w:p>
            <w:pPr>
              <w:pStyle w:val="ConsPlusNormal"/>
              <w:tabs>
                <w:tab w:val="clear" w:pos="720"/>
              </w:tabs>
              <w:ind w:left="0" w:hanging="0"/>
              <w:jc w:val="center"/>
              <w:rPr>
                <w:b w:val="false"/>
                <w:b w:val="false"/>
              </w:rPr>
            </w:pPr>
            <w:r>
              <w:rPr/>
              <w:t>-</w:t>
            </w:r>
          </w:p>
        </w:tc>
        <w:tc>
          <w:tcPr>
            <w:tcW w:w="680" w:type="dxa"/>
            <w:gridSpan w:val="2"/>
            <w:tcBorders/>
          </w:tcPr>
          <w:p>
            <w:pPr>
              <w:pStyle w:val="ConsPlusNormal"/>
              <w:tabs>
                <w:tab w:val="clear" w:pos="720"/>
              </w:tabs>
              <w:ind w:left="0" w:hanging="0"/>
              <w:jc w:val="center"/>
              <w:rPr>
                <w:b w:val="false"/>
                <w:b w:val="false"/>
              </w:rPr>
            </w:pPr>
            <w:r>
              <w:rPr>
                <w:b w:val="false"/>
              </w:rPr>
            </w:r>
          </w:p>
        </w:tc>
        <w:tc>
          <w:tcPr>
            <w:tcW w:w="1556" w:type="dxa"/>
            <w:tcBorders/>
          </w:tcPr>
          <w:p>
            <w:pPr>
              <w:pStyle w:val="ConsPlusNormal"/>
              <w:tabs>
                <w:tab w:val="clear" w:pos="720"/>
              </w:tabs>
              <w:ind w:left="0" w:hanging="0"/>
              <w:jc w:val="center"/>
              <w:rPr>
                <w:b w:val="false"/>
                <w:b w:val="false"/>
              </w:rPr>
            </w:pPr>
            <w:r>
              <w:rPr/>
              <w:t>из расчета 2 единицы на пост</w:t>
            </w:r>
          </w:p>
        </w:tc>
        <w:tc>
          <w:tcPr>
            <w:tcW w:w="1450" w:type="dxa"/>
            <w:tcBorders/>
          </w:tcPr>
          <w:p>
            <w:pPr>
              <w:pStyle w:val="ConsPlusNormal"/>
              <w:tabs>
                <w:tab w:val="clear" w:pos="720"/>
              </w:tabs>
              <w:ind w:left="0" w:hanging="0"/>
              <w:jc w:val="center"/>
              <w:rPr/>
            </w:pPr>
            <w:r>
              <w:rPr/>
              <w:t xml:space="preserve">из расчета 1 единица на пост </w:t>
            </w:r>
            <w:hyperlink w:anchor="Par320" w:tgtFrame="&lt;2&gt; Пулемет выдается взамен автомата.">
              <w:r>
                <w:rPr>
                  <w:color w:val="0000FF"/>
                </w:rPr>
                <w:t>&lt;2&gt;</w:t>
              </w:r>
            </w:hyperlink>
          </w:p>
        </w:tc>
      </w:tr>
      <w:tr>
        <w:trPr/>
        <w:tc>
          <w:tcPr>
            <w:tcW w:w="510" w:type="dxa"/>
            <w:tcBorders/>
          </w:tcPr>
          <w:p>
            <w:pPr>
              <w:pStyle w:val="ConsPlusNormal"/>
              <w:tabs>
                <w:tab w:val="clear" w:pos="720"/>
              </w:tabs>
              <w:ind w:left="0" w:hanging="0"/>
              <w:jc w:val="center"/>
              <w:rPr>
                <w:b w:val="false"/>
                <w:b w:val="false"/>
              </w:rPr>
            </w:pPr>
            <w:r>
              <w:rPr/>
              <w:t>8.</w:t>
            </w:r>
          </w:p>
        </w:tc>
        <w:tc>
          <w:tcPr>
            <w:tcW w:w="3659" w:type="dxa"/>
            <w:tcBorders/>
            <w:vAlign w:val="center"/>
          </w:tcPr>
          <w:p>
            <w:pPr>
              <w:pStyle w:val="ConsPlusNormal"/>
              <w:tabs>
                <w:tab w:val="clear" w:pos="720"/>
              </w:tabs>
              <w:ind w:left="0" w:hanging="0"/>
              <w:jc w:val="left"/>
              <w:rPr>
                <w:b w:val="false"/>
                <w:b w:val="false"/>
              </w:rPr>
            </w:pPr>
            <w:r>
              <w:rPr/>
              <w:t>Работник, обеспечивающий (осуществляющий) охрану груза в пути следования, сопровождения на железнодорожном транспорте</w:t>
            </w:r>
          </w:p>
        </w:tc>
        <w:tc>
          <w:tcPr>
            <w:tcW w:w="1191" w:type="dxa"/>
            <w:tcBorders/>
          </w:tcPr>
          <w:p>
            <w:pPr>
              <w:pStyle w:val="ConsPlusNormal"/>
              <w:tabs>
                <w:tab w:val="clear" w:pos="720"/>
              </w:tabs>
              <w:ind w:left="0" w:hanging="0"/>
              <w:jc w:val="center"/>
              <w:rPr>
                <w:b w:val="false"/>
                <w:b w:val="false"/>
              </w:rPr>
            </w:pPr>
            <w:r>
              <w:rPr/>
              <w:t>1</w:t>
            </w:r>
          </w:p>
        </w:tc>
        <w:tc>
          <w:tcPr>
            <w:tcW w:w="680" w:type="dxa"/>
            <w:gridSpan w:val="2"/>
            <w:tcBorders/>
          </w:tcPr>
          <w:p>
            <w:pPr>
              <w:pStyle w:val="ConsPlusNormal"/>
              <w:tabs>
                <w:tab w:val="clear" w:pos="720"/>
              </w:tabs>
              <w:ind w:left="0" w:hanging="0"/>
              <w:jc w:val="center"/>
              <w:rPr>
                <w:b w:val="false"/>
                <w:b w:val="false"/>
              </w:rPr>
            </w:pPr>
            <w:r>
              <w:rPr/>
              <w:t>или</w:t>
            </w:r>
          </w:p>
        </w:tc>
        <w:tc>
          <w:tcPr>
            <w:tcW w:w="1556" w:type="dxa"/>
            <w:tcBorders/>
          </w:tcPr>
          <w:p>
            <w:pPr>
              <w:pStyle w:val="ConsPlusNormal"/>
              <w:tabs>
                <w:tab w:val="clear" w:pos="720"/>
              </w:tabs>
              <w:ind w:left="0" w:hanging="0"/>
              <w:jc w:val="center"/>
              <w:rPr>
                <w:b w:val="false"/>
                <w:b w:val="false"/>
              </w:rPr>
            </w:pPr>
            <w:r>
              <w:rPr/>
              <w:t>1</w:t>
            </w:r>
          </w:p>
        </w:tc>
        <w:tc>
          <w:tcPr>
            <w:tcW w:w="1450" w:type="dxa"/>
            <w:tcBorders/>
          </w:tcPr>
          <w:p>
            <w:pPr>
              <w:pStyle w:val="ConsPlusNormal"/>
              <w:tabs>
                <w:tab w:val="clear" w:pos="720"/>
              </w:tabs>
              <w:ind w:left="0" w:hanging="0"/>
              <w:jc w:val="center"/>
              <w:rPr>
                <w:b w:val="false"/>
                <w:b w:val="false"/>
              </w:rPr>
            </w:pPr>
            <w:r>
              <w:rPr/>
              <w:t>-</w:t>
            </w:r>
          </w:p>
        </w:tc>
      </w:tr>
      <w:tr>
        <w:trPr/>
        <w:tc>
          <w:tcPr>
            <w:tcW w:w="510" w:type="dxa"/>
            <w:tcBorders>
              <w:bottom w:val="single" w:sz="4" w:space="0" w:color="000000"/>
            </w:tcBorders>
          </w:tcPr>
          <w:p>
            <w:pPr>
              <w:pStyle w:val="ConsPlusNormal"/>
              <w:tabs>
                <w:tab w:val="clear" w:pos="720"/>
              </w:tabs>
              <w:ind w:left="0" w:hanging="0"/>
              <w:jc w:val="center"/>
              <w:rPr>
                <w:b w:val="false"/>
                <w:b w:val="false"/>
              </w:rPr>
            </w:pPr>
            <w:r>
              <w:rPr/>
              <w:t>9.</w:t>
            </w:r>
          </w:p>
        </w:tc>
        <w:tc>
          <w:tcPr>
            <w:tcW w:w="3659" w:type="dxa"/>
            <w:tcBorders>
              <w:bottom w:val="single" w:sz="4" w:space="0" w:color="000000"/>
            </w:tcBorders>
            <w:vAlign w:val="bottom"/>
          </w:tcPr>
          <w:p>
            <w:pPr>
              <w:pStyle w:val="ConsPlusNormal"/>
              <w:tabs>
                <w:tab w:val="clear" w:pos="720"/>
              </w:tabs>
              <w:ind w:left="0" w:hanging="0"/>
              <w:jc w:val="left"/>
              <w:rPr/>
            </w:pPr>
            <w:r>
              <w:rPr/>
              <w:t xml:space="preserve">Работник, обеспечивающий противодействие беспилотным воздушным, подводным и надводным судам и аппаратам, беспилотным транспортным средствам и иным автоматизированным беспилотным комплексам на внутренних и внешних постах на охраняемом объекте, выполняющий обязанности по охране периметра объекта </w:t>
            </w:r>
            <w:hyperlink w:anchor="Par321" w:tgtFrame="&lt;3&gt; Для использования в составе комплексов противодействия беспилотным воздушным, подводным и надводным судам и аппаратам, беспилотным транспортным средствам и иным автоматизированным беспилотным комплексам допускается получение одним работником более двух единиц закрепленного за ним автоматического боевого ручного стрелкового оружия.">
              <w:r>
                <w:rPr>
                  <w:color w:val="0000FF"/>
                </w:rPr>
                <w:t>&lt;3&gt;</w:t>
              </w:r>
            </w:hyperlink>
          </w:p>
        </w:tc>
        <w:tc>
          <w:tcPr>
            <w:tcW w:w="1191" w:type="dxa"/>
            <w:tcBorders>
              <w:bottom w:val="single" w:sz="4" w:space="0" w:color="000000"/>
            </w:tcBorders>
          </w:tcPr>
          <w:p>
            <w:pPr>
              <w:pStyle w:val="ConsPlusNormal"/>
              <w:tabs>
                <w:tab w:val="clear" w:pos="720"/>
              </w:tabs>
              <w:ind w:left="0" w:hanging="0"/>
              <w:jc w:val="center"/>
              <w:rPr>
                <w:b w:val="false"/>
                <w:b w:val="false"/>
              </w:rPr>
            </w:pPr>
            <w:r>
              <w:rPr/>
              <w:t>-</w:t>
            </w:r>
          </w:p>
        </w:tc>
        <w:tc>
          <w:tcPr>
            <w:tcW w:w="680" w:type="dxa"/>
            <w:gridSpan w:val="2"/>
            <w:tcBorders>
              <w:bottom w:val="single" w:sz="4" w:space="0" w:color="000000"/>
            </w:tcBorders>
          </w:tcPr>
          <w:p>
            <w:pPr>
              <w:pStyle w:val="ConsPlusNormal"/>
              <w:tabs>
                <w:tab w:val="clear" w:pos="720"/>
              </w:tabs>
              <w:ind w:left="0" w:hanging="0"/>
              <w:jc w:val="center"/>
              <w:rPr>
                <w:b w:val="false"/>
                <w:b w:val="false"/>
              </w:rPr>
            </w:pPr>
            <w:r>
              <w:rPr>
                <w:b w:val="false"/>
              </w:rPr>
            </w:r>
          </w:p>
        </w:tc>
        <w:tc>
          <w:tcPr>
            <w:tcW w:w="1556" w:type="dxa"/>
            <w:tcBorders>
              <w:bottom w:val="single" w:sz="4" w:space="0" w:color="000000"/>
            </w:tcBorders>
          </w:tcPr>
          <w:p>
            <w:pPr>
              <w:pStyle w:val="ConsPlusNormal"/>
              <w:tabs>
                <w:tab w:val="clear" w:pos="720"/>
              </w:tabs>
              <w:ind w:left="0" w:hanging="0"/>
              <w:jc w:val="center"/>
              <w:rPr>
                <w:b w:val="false"/>
                <w:b w:val="false"/>
              </w:rPr>
            </w:pPr>
            <w:r>
              <w:rPr/>
              <w:t>из расчета 2 единицы на пост</w:t>
            </w:r>
          </w:p>
        </w:tc>
        <w:tc>
          <w:tcPr>
            <w:tcW w:w="1450" w:type="dxa"/>
            <w:tcBorders>
              <w:bottom w:val="single" w:sz="4" w:space="0" w:color="000000"/>
            </w:tcBorders>
          </w:tcPr>
          <w:p>
            <w:pPr>
              <w:pStyle w:val="ConsPlusNormal"/>
              <w:tabs>
                <w:tab w:val="clear" w:pos="720"/>
              </w:tabs>
              <w:ind w:left="0" w:hanging="0"/>
              <w:jc w:val="center"/>
              <w:rPr/>
            </w:pPr>
            <w:r>
              <w:rPr/>
              <w:t xml:space="preserve">из расчета 2 единицы на пост </w:t>
            </w:r>
            <w:hyperlink w:anchor="Par320" w:tgtFrame="&lt;2&gt; Пулемет выдается взамен автомата.">
              <w:r>
                <w:rPr>
                  <w:color w:val="0000FF"/>
                </w:rPr>
                <w:t>&lt;2&gt;</w:t>
              </w:r>
            </w:hyperlink>
          </w:p>
        </w:tc>
      </w:tr>
    </w:tbl>
    <w:p>
      <w:pPr>
        <w:pStyle w:val="ConsPlusNormal"/>
        <w:ind w:left="0" w:hanging="0"/>
        <w:jc w:val="center"/>
        <w:rPr/>
      </w:pPr>
      <w:r>
        <w:rPr/>
      </w:r>
    </w:p>
    <w:p>
      <w:pPr>
        <w:pStyle w:val="ConsPlusNormal"/>
        <w:ind w:left="0" w:firstLine="540"/>
        <w:jc w:val="both"/>
        <w:rPr/>
      </w:pPr>
      <w:r>
        <w:rPr/>
        <w:t>--------------------------------</w:t>
      </w:r>
    </w:p>
    <w:p>
      <w:pPr>
        <w:pStyle w:val="ConsPlusNormal"/>
        <w:spacing w:before="240" w:after="0"/>
        <w:ind w:left="0" w:firstLine="540"/>
        <w:jc w:val="both"/>
        <w:rPr/>
      </w:pPr>
      <w:bookmarkStart w:id="7" w:name="Par319"/>
      <w:bookmarkEnd w:id="7"/>
      <w:r>
        <w:rPr/>
        <w:t>&lt;1&gt; Создаются согласно структуре ведомственной охраны, предусмотренной положением о ведомственной охране, утверждаемым Правительством Российской Федерации. Количество работников, включаемых в ежесуточный состав резервной группы, устанавливается по согласованию с территориальным органом Федеральной службы войск национальной гвардии Российской Федерации.</w:t>
      </w:r>
    </w:p>
    <w:p>
      <w:pPr>
        <w:pStyle w:val="ConsPlusNormal"/>
        <w:spacing w:before="240" w:after="0"/>
        <w:ind w:left="0" w:firstLine="540"/>
        <w:jc w:val="both"/>
        <w:rPr/>
      </w:pPr>
      <w:bookmarkStart w:id="8" w:name="Par320"/>
      <w:bookmarkEnd w:id="8"/>
      <w:r>
        <w:rPr/>
        <w:t>&lt;2&gt; Пулемет выдается взамен автомата.</w:t>
      </w:r>
    </w:p>
    <w:p>
      <w:pPr>
        <w:pStyle w:val="ConsPlusNormal"/>
        <w:spacing w:before="240" w:after="0"/>
        <w:ind w:left="0" w:firstLine="540"/>
        <w:jc w:val="both"/>
        <w:rPr/>
      </w:pPr>
      <w:bookmarkStart w:id="9" w:name="Par321"/>
      <w:bookmarkEnd w:id="9"/>
      <w:r>
        <w:rPr/>
        <w:t>&lt;3&gt; Для использования в составе комплексов противодействия беспилотным воздушным, подводным и надводным судам и аппаратам, беспилотным транспортным средствам и иным автоматизированным беспилотным комплексам допускается получение одним работником более двух единиц закрепленного за ним автоматического боевого ручного стрелкового оружия.</w:t>
      </w:r>
    </w:p>
    <w:p>
      <w:pPr>
        <w:pStyle w:val="ConsPlusNormal"/>
        <w:ind w:left="0" w:firstLine="540"/>
        <w:jc w:val="both"/>
        <w:rPr/>
      </w:pPr>
      <w:r>
        <w:rPr/>
      </w:r>
    </w:p>
    <w:p>
      <w:pPr>
        <w:pStyle w:val="ConsPlusTitle"/>
        <w:ind w:left="0" w:hanging="0"/>
        <w:jc w:val="center"/>
        <w:rPr/>
      </w:pPr>
      <w:r>
        <w:rPr/>
        <w:t>2. Патроны к боевому ручному стрелковому оружию</w:t>
      </w:r>
    </w:p>
    <w:p>
      <w:pPr>
        <w:pStyle w:val="ConsPlusNormal"/>
        <w:ind w:left="0" w:firstLine="540"/>
        <w:jc w:val="both"/>
        <w:rPr/>
      </w:pPr>
      <w:r>
        <w:rPr/>
      </w:r>
    </w:p>
    <w:tbl>
      <w:tblPr>
        <w:tblW w:w="9068" w:type="dxa"/>
        <w:jc w:val="left"/>
        <w:tblInd w:w="62" w:type="dxa"/>
        <w:tblCellMar>
          <w:top w:w="102" w:type="dxa"/>
          <w:left w:w="62" w:type="dxa"/>
          <w:bottom w:w="102" w:type="dxa"/>
          <w:right w:w="62" w:type="dxa"/>
        </w:tblCellMar>
      </w:tblPr>
      <w:tblGrid>
        <w:gridCol w:w="430"/>
        <w:gridCol w:w="1556"/>
        <w:gridCol w:w="2003"/>
        <w:gridCol w:w="1829"/>
        <w:gridCol w:w="1263"/>
        <w:gridCol w:w="1986"/>
      </w:tblGrid>
      <w:tr>
        <w:trPr/>
        <w:tc>
          <w:tcPr>
            <w:tcW w:w="1986" w:type="dxa"/>
            <w:gridSpan w:val="2"/>
            <w:vMerge w:val="restart"/>
            <w:tcBorders>
              <w:top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Наименование оружия</w:t>
            </w:r>
          </w:p>
        </w:tc>
        <w:tc>
          <w:tcPr>
            <w:tcW w:w="2003"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Неснижаемый запас патронов (из расчета на единицу оружия)</w:t>
            </w:r>
          </w:p>
        </w:tc>
        <w:tc>
          <w:tcPr>
            <w:tcW w:w="5078" w:type="dxa"/>
            <w:gridSpan w:val="3"/>
            <w:tcBorders>
              <w:top w:val="single" w:sz="4" w:space="0" w:color="000000"/>
              <w:left w:val="single" w:sz="4" w:space="0" w:color="000000"/>
              <w:bottom w:val="single" w:sz="4" w:space="0" w:color="000000"/>
            </w:tcBorders>
          </w:tcPr>
          <w:p>
            <w:pPr>
              <w:pStyle w:val="ConsPlusNormal"/>
              <w:tabs>
                <w:tab w:val="clear" w:pos="720"/>
              </w:tabs>
              <w:ind w:left="0" w:hanging="0"/>
              <w:jc w:val="center"/>
              <w:rPr>
                <w:b w:val="false"/>
                <w:b w:val="false"/>
              </w:rPr>
            </w:pPr>
            <w:r>
              <w:rPr/>
              <w:t>Нормы патронов</w:t>
            </w:r>
          </w:p>
        </w:tc>
      </w:tr>
      <w:tr>
        <w:trPr/>
        <w:tc>
          <w:tcPr>
            <w:tcW w:w="1986" w:type="dxa"/>
            <w:gridSpan w:val="2"/>
            <w:vMerge w:val="continue"/>
            <w:tcBorders>
              <w:top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2003"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82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 проверку боя и приведение к нормальному бою (на каждую единицу оружия 2 раза в год)</w:t>
            </w:r>
          </w:p>
        </w:tc>
        <w:tc>
          <w:tcPr>
            <w:tcW w:w="126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 учебную стрельбу (на каждого работника в год)</w:t>
            </w:r>
          </w:p>
        </w:tc>
        <w:tc>
          <w:tcPr>
            <w:tcW w:w="1986" w:type="dxa"/>
            <w:tcBorders>
              <w:top w:val="single" w:sz="4" w:space="0" w:color="000000"/>
              <w:left w:val="single" w:sz="4" w:space="0" w:color="000000"/>
              <w:bottom w:val="single" w:sz="4" w:space="0" w:color="000000"/>
            </w:tcBorders>
          </w:tcPr>
          <w:p>
            <w:pPr>
              <w:pStyle w:val="ConsPlusNormal"/>
              <w:tabs>
                <w:tab w:val="clear" w:pos="720"/>
              </w:tabs>
              <w:ind w:left="0" w:hanging="0"/>
              <w:jc w:val="center"/>
              <w:rPr>
                <w:b w:val="false"/>
                <w:b w:val="false"/>
              </w:rPr>
            </w:pPr>
            <w:r>
              <w:rPr/>
              <w:t>для проведения контрольного отстрела (на каждую единицу оружия 1 раз в десять лет)</w:t>
            </w:r>
          </w:p>
        </w:tc>
      </w:tr>
      <w:tr>
        <w:trPr/>
        <w:tc>
          <w:tcPr>
            <w:tcW w:w="430" w:type="dxa"/>
            <w:tcBorders>
              <w:top w:val="single" w:sz="4" w:space="0" w:color="000000"/>
            </w:tcBorders>
          </w:tcPr>
          <w:p>
            <w:pPr>
              <w:pStyle w:val="ConsPlusNormal"/>
              <w:tabs>
                <w:tab w:val="clear" w:pos="720"/>
              </w:tabs>
              <w:ind w:left="0" w:hanging="0"/>
              <w:jc w:val="center"/>
              <w:rPr>
                <w:b w:val="false"/>
                <w:b w:val="false"/>
              </w:rPr>
            </w:pPr>
            <w:r>
              <w:rPr/>
              <w:t>1.</w:t>
            </w:r>
          </w:p>
        </w:tc>
        <w:tc>
          <w:tcPr>
            <w:tcW w:w="1556" w:type="dxa"/>
            <w:tcBorders>
              <w:top w:val="single" w:sz="4" w:space="0" w:color="000000"/>
            </w:tcBorders>
          </w:tcPr>
          <w:p>
            <w:pPr>
              <w:pStyle w:val="ConsPlusNormal"/>
              <w:tabs>
                <w:tab w:val="clear" w:pos="720"/>
              </w:tabs>
              <w:ind w:left="0" w:hanging="0"/>
              <w:jc w:val="left"/>
              <w:rPr>
                <w:b w:val="false"/>
                <w:b w:val="false"/>
              </w:rPr>
            </w:pPr>
            <w:r>
              <w:rPr/>
              <w:t>Пистолет-пулемет</w:t>
            </w:r>
          </w:p>
        </w:tc>
        <w:tc>
          <w:tcPr>
            <w:tcW w:w="2003" w:type="dxa"/>
            <w:tcBorders>
              <w:top w:val="single" w:sz="4" w:space="0" w:color="000000"/>
            </w:tcBorders>
          </w:tcPr>
          <w:p>
            <w:pPr>
              <w:pStyle w:val="ConsPlusNormal"/>
              <w:tabs>
                <w:tab w:val="clear" w:pos="720"/>
              </w:tabs>
              <w:ind w:left="0" w:hanging="0"/>
              <w:jc w:val="center"/>
              <w:rPr>
                <w:b w:val="false"/>
                <w:b w:val="false"/>
              </w:rPr>
            </w:pPr>
            <w:r>
              <w:rPr/>
              <w:t>по 2 снаряженных магазина</w:t>
            </w:r>
          </w:p>
        </w:tc>
        <w:tc>
          <w:tcPr>
            <w:tcW w:w="1829" w:type="dxa"/>
            <w:tcBorders>
              <w:top w:val="single" w:sz="4" w:space="0" w:color="000000"/>
            </w:tcBorders>
          </w:tcPr>
          <w:p>
            <w:pPr>
              <w:pStyle w:val="ConsPlusNormal"/>
              <w:tabs>
                <w:tab w:val="clear" w:pos="720"/>
              </w:tabs>
              <w:ind w:left="0" w:hanging="0"/>
              <w:jc w:val="center"/>
              <w:rPr>
                <w:b w:val="false"/>
                <w:b w:val="false"/>
              </w:rPr>
            </w:pPr>
            <w:r>
              <w:rPr/>
              <w:t>12</w:t>
            </w:r>
          </w:p>
        </w:tc>
        <w:tc>
          <w:tcPr>
            <w:tcW w:w="1263" w:type="dxa"/>
            <w:tcBorders>
              <w:top w:val="single" w:sz="4" w:space="0" w:color="000000"/>
            </w:tcBorders>
          </w:tcPr>
          <w:p>
            <w:pPr>
              <w:pStyle w:val="ConsPlusNormal"/>
              <w:tabs>
                <w:tab w:val="clear" w:pos="720"/>
              </w:tabs>
              <w:ind w:left="0" w:hanging="0"/>
              <w:jc w:val="center"/>
              <w:rPr>
                <w:b w:val="false"/>
                <w:b w:val="false"/>
              </w:rPr>
            </w:pPr>
            <w:r>
              <w:rPr/>
              <w:t>120</w:t>
            </w:r>
          </w:p>
        </w:tc>
        <w:tc>
          <w:tcPr>
            <w:tcW w:w="1986" w:type="dxa"/>
            <w:tcBorders>
              <w:top w:val="single" w:sz="4" w:space="0" w:color="000000"/>
            </w:tcBorders>
          </w:tcPr>
          <w:p>
            <w:pPr>
              <w:pStyle w:val="ConsPlusNormal"/>
              <w:tabs>
                <w:tab w:val="clear" w:pos="720"/>
              </w:tabs>
              <w:ind w:left="0" w:hanging="0"/>
              <w:jc w:val="center"/>
              <w:rPr>
                <w:b w:val="false"/>
                <w:b w:val="false"/>
              </w:rPr>
            </w:pPr>
            <w:r>
              <w:rPr/>
              <w:t>3</w:t>
            </w:r>
          </w:p>
        </w:tc>
      </w:tr>
      <w:tr>
        <w:trPr/>
        <w:tc>
          <w:tcPr>
            <w:tcW w:w="430" w:type="dxa"/>
            <w:tcBorders/>
          </w:tcPr>
          <w:p>
            <w:pPr>
              <w:pStyle w:val="ConsPlusNormal"/>
              <w:tabs>
                <w:tab w:val="clear" w:pos="720"/>
              </w:tabs>
              <w:ind w:left="0" w:hanging="0"/>
              <w:jc w:val="center"/>
              <w:rPr>
                <w:b w:val="false"/>
                <w:b w:val="false"/>
              </w:rPr>
            </w:pPr>
            <w:r>
              <w:rPr/>
              <w:t>2.</w:t>
            </w:r>
          </w:p>
        </w:tc>
        <w:tc>
          <w:tcPr>
            <w:tcW w:w="1556" w:type="dxa"/>
            <w:tcBorders/>
          </w:tcPr>
          <w:p>
            <w:pPr>
              <w:pStyle w:val="ConsPlusNormal"/>
              <w:tabs>
                <w:tab w:val="clear" w:pos="720"/>
              </w:tabs>
              <w:ind w:left="0" w:hanging="0"/>
              <w:jc w:val="left"/>
              <w:rPr>
                <w:b w:val="false"/>
                <w:b w:val="false"/>
              </w:rPr>
            </w:pPr>
            <w:r>
              <w:rPr/>
              <w:t>Автомат</w:t>
            </w:r>
          </w:p>
        </w:tc>
        <w:tc>
          <w:tcPr>
            <w:tcW w:w="2003" w:type="dxa"/>
            <w:tcBorders/>
          </w:tcPr>
          <w:p>
            <w:pPr>
              <w:pStyle w:val="ConsPlusNormal"/>
              <w:tabs>
                <w:tab w:val="clear" w:pos="720"/>
              </w:tabs>
              <w:ind w:left="0" w:hanging="0"/>
              <w:jc w:val="center"/>
              <w:rPr>
                <w:b w:val="false"/>
                <w:b w:val="false"/>
              </w:rPr>
            </w:pPr>
            <w:r>
              <w:rPr/>
              <w:t>по 4 снаряженных магазина</w:t>
            </w:r>
          </w:p>
        </w:tc>
        <w:tc>
          <w:tcPr>
            <w:tcW w:w="1829" w:type="dxa"/>
            <w:tcBorders/>
          </w:tcPr>
          <w:p>
            <w:pPr>
              <w:pStyle w:val="ConsPlusNormal"/>
              <w:tabs>
                <w:tab w:val="clear" w:pos="720"/>
              </w:tabs>
              <w:ind w:left="0" w:hanging="0"/>
              <w:jc w:val="center"/>
              <w:rPr>
                <w:b w:val="false"/>
                <w:b w:val="false"/>
              </w:rPr>
            </w:pPr>
            <w:r>
              <w:rPr/>
              <w:t>12</w:t>
            </w:r>
          </w:p>
        </w:tc>
        <w:tc>
          <w:tcPr>
            <w:tcW w:w="1263" w:type="dxa"/>
            <w:tcBorders/>
          </w:tcPr>
          <w:p>
            <w:pPr>
              <w:pStyle w:val="ConsPlusNormal"/>
              <w:tabs>
                <w:tab w:val="clear" w:pos="720"/>
              </w:tabs>
              <w:ind w:left="0" w:hanging="0"/>
              <w:jc w:val="center"/>
              <w:rPr>
                <w:b w:val="false"/>
                <w:b w:val="false"/>
              </w:rPr>
            </w:pPr>
            <w:r>
              <w:rPr/>
              <w:t>120</w:t>
            </w:r>
          </w:p>
        </w:tc>
        <w:tc>
          <w:tcPr>
            <w:tcW w:w="1986" w:type="dxa"/>
            <w:tcBorders/>
          </w:tcPr>
          <w:p>
            <w:pPr>
              <w:pStyle w:val="ConsPlusNormal"/>
              <w:tabs>
                <w:tab w:val="clear" w:pos="720"/>
              </w:tabs>
              <w:ind w:left="0" w:hanging="0"/>
              <w:jc w:val="center"/>
              <w:rPr>
                <w:b w:val="false"/>
                <w:b w:val="false"/>
              </w:rPr>
            </w:pPr>
            <w:r>
              <w:rPr/>
              <w:t>3</w:t>
            </w:r>
          </w:p>
        </w:tc>
      </w:tr>
      <w:tr>
        <w:trPr/>
        <w:tc>
          <w:tcPr>
            <w:tcW w:w="430" w:type="dxa"/>
            <w:tcBorders>
              <w:bottom w:val="single" w:sz="4" w:space="0" w:color="000000"/>
            </w:tcBorders>
          </w:tcPr>
          <w:p>
            <w:pPr>
              <w:pStyle w:val="ConsPlusNormal"/>
              <w:tabs>
                <w:tab w:val="clear" w:pos="720"/>
              </w:tabs>
              <w:ind w:left="0" w:hanging="0"/>
              <w:jc w:val="center"/>
              <w:rPr>
                <w:b w:val="false"/>
                <w:b w:val="false"/>
              </w:rPr>
            </w:pPr>
            <w:r>
              <w:rPr/>
              <w:t>3.</w:t>
            </w:r>
          </w:p>
        </w:tc>
        <w:tc>
          <w:tcPr>
            <w:tcW w:w="1556" w:type="dxa"/>
            <w:tcBorders>
              <w:bottom w:val="single" w:sz="4" w:space="0" w:color="000000"/>
            </w:tcBorders>
          </w:tcPr>
          <w:p>
            <w:pPr>
              <w:pStyle w:val="ConsPlusNormal"/>
              <w:tabs>
                <w:tab w:val="clear" w:pos="720"/>
              </w:tabs>
              <w:ind w:left="0" w:hanging="0"/>
              <w:jc w:val="left"/>
              <w:rPr>
                <w:b w:val="false"/>
                <w:b w:val="false"/>
              </w:rPr>
            </w:pPr>
            <w:r>
              <w:rPr/>
              <w:t>Пулемет</w:t>
            </w:r>
          </w:p>
        </w:tc>
        <w:tc>
          <w:tcPr>
            <w:tcW w:w="2003" w:type="dxa"/>
            <w:tcBorders>
              <w:bottom w:val="single" w:sz="4" w:space="0" w:color="000000"/>
            </w:tcBorders>
          </w:tcPr>
          <w:p>
            <w:pPr>
              <w:pStyle w:val="ConsPlusNormal"/>
              <w:tabs>
                <w:tab w:val="clear" w:pos="720"/>
              </w:tabs>
              <w:ind w:left="0" w:hanging="0"/>
              <w:jc w:val="center"/>
              <w:rPr>
                <w:b w:val="false"/>
                <w:b w:val="false"/>
              </w:rPr>
            </w:pPr>
            <w:r>
              <w:rPr/>
              <w:t>2 коробки с пулеметной лентой на 100 патронов и 2 коробки с пулеметной лентой на 200 патронов</w:t>
            </w:r>
          </w:p>
        </w:tc>
        <w:tc>
          <w:tcPr>
            <w:tcW w:w="1829" w:type="dxa"/>
            <w:tcBorders>
              <w:bottom w:val="single" w:sz="4" w:space="0" w:color="000000"/>
            </w:tcBorders>
          </w:tcPr>
          <w:p>
            <w:pPr>
              <w:pStyle w:val="ConsPlusNormal"/>
              <w:tabs>
                <w:tab w:val="clear" w:pos="720"/>
              </w:tabs>
              <w:ind w:left="0" w:hanging="0"/>
              <w:jc w:val="center"/>
              <w:rPr>
                <w:b w:val="false"/>
                <w:b w:val="false"/>
              </w:rPr>
            </w:pPr>
            <w:r>
              <w:rPr/>
              <w:t>30</w:t>
            </w:r>
          </w:p>
        </w:tc>
        <w:tc>
          <w:tcPr>
            <w:tcW w:w="1263" w:type="dxa"/>
            <w:tcBorders>
              <w:bottom w:val="single" w:sz="4" w:space="0" w:color="000000"/>
            </w:tcBorders>
          </w:tcPr>
          <w:p>
            <w:pPr>
              <w:pStyle w:val="ConsPlusNormal"/>
              <w:tabs>
                <w:tab w:val="clear" w:pos="720"/>
              </w:tabs>
              <w:ind w:left="0" w:hanging="0"/>
              <w:jc w:val="center"/>
              <w:rPr>
                <w:b w:val="false"/>
                <w:b w:val="false"/>
              </w:rPr>
            </w:pPr>
            <w:r>
              <w:rPr/>
              <w:t>200</w:t>
            </w:r>
          </w:p>
        </w:tc>
        <w:tc>
          <w:tcPr>
            <w:tcW w:w="1986" w:type="dxa"/>
            <w:tcBorders>
              <w:bottom w:val="single" w:sz="4" w:space="0" w:color="000000"/>
            </w:tcBorders>
          </w:tcPr>
          <w:p>
            <w:pPr>
              <w:pStyle w:val="ConsPlusNormal"/>
              <w:tabs>
                <w:tab w:val="clear" w:pos="720"/>
              </w:tabs>
              <w:ind w:left="0" w:hanging="0"/>
              <w:jc w:val="center"/>
              <w:rPr>
                <w:b w:val="false"/>
                <w:b w:val="false"/>
              </w:rPr>
            </w:pPr>
            <w:r>
              <w:rPr/>
              <w:t>3</w:t>
            </w:r>
          </w:p>
        </w:tc>
      </w:tr>
    </w:tbl>
    <w:p>
      <w:pPr>
        <w:pStyle w:val="ConsPlusNormal"/>
        <w:ind w:left="0" w:firstLine="540"/>
        <w:jc w:val="both"/>
        <w:rPr/>
      </w:pPr>
      <w:r>
        <w:rPr/>
      </w:r>
    </w:p>
    <w:p>
      <w:pPr>
        <w:pStyle w:val="ConsPlusNormal"/>
        <w:ind w:left="0" w:firstLine="540"/>
        <w:jc w:val="both"/>
        <w:rPr/>
      </w:pPr>
      <w:r>
        <w:rPr/>
        <w:t>Примечания:</w:t>
      </w:r>
    </w:p>
    <w:p>
      <w:pPr>
        <w:pStyle w:val="ConsPlusNormal"/>
        <w:spacing w:before="240" w:after="0"/>
        <w:ind w:left="0" w:firstLine="540"/>
        <w:jc w:val="both"/>
        <w:rPr/>
      </w:pPr>
      <w:r>
        <w:rPr/>
        <w:t>1. Боевое ручное стрелковое оружие выдается территориальными органами Федеральной службы войск национальной гвардии Российской Федерации во временное пользование без входящего в комплект боевого холодного оружия.</w:t>
      </w:r>
    </w:p>
    <w:p>
      <w:pPr>
        <w:pStyle w:val="ConsPlusNormal"/>
        <w:spacing w:before="240" w:after="0"/>
        <w:ind w:left="0" w:firstLine="540"/>
        <w:jc w:val="both"/>
        <w:rPr/>
      </w:pPr>
      <w:r>
        <w:rPr/>
        <w:t>2. Работники ведомственной охраны федеральных государственных органов, федеральных органов исполнительной власти, высшего исполнительного органа субъекта Российской Федерации - города федерального значения Москвы, организаций, имеющих в соответствии с законодательством Российской Федерации право на создание ведомственной охраны, обеспечиваются:</w:t>
      </w:r>
    </w:p>
    <w:p>
      <w:pPr>
        <w:pStyle w:val="ConsPlusNormal"/>
        <w:spacing w:before="240" w:after="0"/>
        <w:ind w:left="0" w:firstLine="540"/>
        <w:jc w:val="both"/>
        <w:rPr/>
      </w:pPr>
      <w:r>
        <w:rPr/>
        <w:t>боевым короткоствольным ручным стрелковым оружием - по нормам обеспечения служебным огнестрельным короткоствольным оружием;</w:t>
      </w:r>
    </w:p>
    <w:p>
      <w:pPr>
        <w:pStyle w:val="ConsPlusNormal"/>
        <w:spacing w:before="240" w:after="0"/>
        <w:ind w:left="0" w:firstLine="540"/>
        <w:jc w:val="both"/>
        <w:rPr/>
      </w:pPr>
      <w:r>
        <w:rPr/>
        <w:t>патронами к боевому короткоствольному ручному стрелковому оружию - по нормам обеспечения патронами к служебному огнестрельному короткоствольному оружию.</w:t>
      </w:r>
    </w:p>
    <w:p>
      <w:pPr>
        <w:pStyle w:val="ConsPlusNormal"/>
        <w:spacing w:before="240" w:after="0"/>
        <w:ind w:left="0" w:firstLine="540"/>
        <w:jc w:val="both"/>
        <w:rPr/>
      </w:pPr>
      <w:r>
        <w:rPr/>
        <w:t>3. Резерв боевого ручного стрелкового оружия в ведомственной охране для усиления наружных (внешних) постов создается из расчета 1 единица на 10 работников ведомственной охраны, допущенных к использованию оружия. По согласованию с Федеральной службой войск национальной гвардии Российской Федерации для охраны особо важных объектов указанный резерв боевого ручного стрелкового оружия может быть увеличен по решению руководителя федерального государственного органа, федерального органа исполнительной власти, высшего исполнительного органа субъекта Российской Федерации - города федерального значения Москвы, организаций, имеющих в соответствии с законодательством Российской Федерации право на создание ведомственной охраны, но не более чем в 3 раза от установленной нормы.</w:t>
      </w:r>
    </w:p>
    <w:p>
      <w:pPr>
        <w:pStyle w:val="ConsPlusNormal"/>
        <w:spacing w:before="240" w:after="0"/>
        <w:ind w:left="0" w:firstLine="540"/>
        <w:jc w:val="both"/>
        <w:rPr/>
      </w:pPr>
      <w:r>
        <w:rPr/>
        <w:t>4. Резерв патронов к боевому ручному стрелковому оружию формируется ведомственной охраной из расчета 50 процентов от неснижаемого запаса на каждую единицу оружия.</w:t>
      </w:r>
    </w:p>
    <w:p>
      <w:pPr>
        <w:pStyle w:val="ConsPlusNormal"/>
        <w:spacing w:before="240" w:after="0"/>
        <w:ind w:left="0" w:firstLine="540"/>
        <w:jc w:val="both"/>
        <w:rPr/>
      </w:pPr>
      <w:r>
        <w:rPr/>
        <w:t>5. Патроны с трассирующей пулей выдаются ведомственной охране из расчета не более 30 процентов от неснижаемого запаса.</w:t>
      </w:r>
    </w:p>
    <w:p>
      <w:pPr>
        <w:pStyle w:val="ConsPlusNormal"/>
        <w:spacing w:before="240" w:after="0"/>
        <w:ind w:left="0" w:firstLine="540"/>
        <w:jc w:val="both"/>
        <w:rPr/>
      </w:pPr>
      <w:r>
        <w:rPr/>
        <w:t>6. Холостые патроны выдаются ведомственной охране из расчета не более 10 процентов от неснижаемого запаса.</w:t>
      </w:r>
    </w:p>
    <w:p>
      <w:pPr>
        <w:pStyle w:val="ConsPlusNormal"/>
        <w:spacing w:before="240" w:after="0"/>
        <w:ind w:left="0" w:firstLine="540"/>
        <w:jc w:val="both"/>
        <w:rPr/>
      </w:pPr>
      <w:r>
        <w:rPr/>
        <w:t>7. Нормы обеспечения учебными образцами боевого ручного стрелкового оружия формируются ведомственной охраной из расчета 1 единица учебного образца боевого ручного стрелкового оружия на 15 единиц соответствующего боевого ручного стрелкового оружия (не менее 1 единицы на филиал (представительство, обособленное структурное подразделение).</w:t>
      </w:r>
    </w:p>
    <w:p>
      <w:pPr>
        <w:pStyle w:val="ConsPlusNormal"/>
        <w:spacing w:before="240" w:after="0"/>
        <w:ind w:left="0" w:firstLine="540"/>
        <w:jc w:val="both"/>
        <w:rPr/>
      </w:pPr>
      <w:r>
        <w:rPr/>
        <w:t>8. Нормы обеспечения учебными патронами формируются ведомственной охраной из расчета 1 снаряженный магазин (коробка с пулеметной лентой на 100 патронов) на каждую единицу учебного образца боевого ручного стрелкового оружия.</w:t>
      </w:r>
    </w:p>
    <w:p>
      <w:pPr>
        <w:pStyle w:val="ConsPlusNormal"/>
        <w:spacing w:before="240" w:after="0"/>
        <w:ind w:left="0" w:firstLine="540"/>
        <w:jc w:val="both"/>
        <w:rPr/>
      </w:pPr>
      <w:r>
        <w:rPr/>
        <w:t>9. Перечень должностей работников ведомственной охраны федеральных государственных органов, федеральных органов исполнительной власти, высшего исполнительного органа субъекта Российской Федерации - города федерального значения Москвы, организаций, имеющих в соответствии с законодательством Российской Федерации право на создание ведомственной охраны, подлежащих обеспечению отдельными типами и моделями боевого ручного стрелкового оружия, определяется федеральным государственным органом, федеральным органом исполнительной власти, высшим исполнительным органом субъекта Российской Федерации - города федерального значения Москвы, организациями, имеющими в соответствии с законодательством Российской Федерации право на создание ведомственной охраны, по согласованию с Федеральной службой войск национальной гвардии Российской Федерации.</w:t>
      </w:r>
    </w:p>
    <w:p>
      <w:pPr>
        <w:pStyle w:val="ConsPlusNormal"/>
        <w:ind w:left="0" w:hanging="0"/>
        <w:jc w:val="left"/>
        <w:rPr/>
      </w:pPr>
      <w:r>
        <w:rPr/>
      </w:r>
    </w:p>
    <w:p>
      <w:pPr>
        <w:pStyle w:val="ConsPlusNormal"/>
        <w:ind w:left="0" w:hanging="0"/>
        <w:jc w:val="left"/>
        <w:rPr/>
      </w:pPr>
      <w:r>
        <w:rPr/>
      </w:r>
    </w:p>
    <w:p>
      <w:pPr>
        <w:pStyle w:val="ConsPlusNormal"/>
        <w:pBdr>
          <w:top w:val="single" w:sz="6" w:space="0" w:color="000000"/>
        </w:pBdr>
        <w:spacing w:before="100" w:after="100"/>
        <w:ind w:left="0" w:hanging="0"/>
        <w:jc w:val="both"/>
        <w:rPr/>
      </w:pPr>
      <w:r>
        <w:rPr/>
      </w:r>
    </w:p>
    <w:sectPr>
      <w:type w:val="nextPage"/>
      <w:pgSz w:w="11906" w:h="16838"/>
      <w:pgMar w:left="1133" w:right="566" w:header="0" w:top="1440" w:footer="0" w:bottom="1440" w:gutter="0"/>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Astra Serif">
    <w:charset w:val="01"/>
    <w:family w:val="roman"/>
    <w:pitch w:val="default"/>
  </w:font>
  <w:font w:name="Times New Roman">
    <w:charset w:val="01"/>
    <w:family w:val="roman"/>
    <w:pitch w:val="default"/>
  </w:font>
  <w:font w:name="Courier New">
    <w:charset w:val="01"/>
    <w:family w:val="roman"/>
    <w:pitch w:val="default"/>
  </w:font>
  <w:font w:name="Arial">
    <w:charset w:val="01"/>
    <w:family w:val="roman"/>
    <w:pitch w:val="default"/>
  </w:font>
  <w:font w:name="Tahoma">
    <w:charset w:val="01"/>
    <w:family w:val="roman"/>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PT Astra Serif" w:hAnsi="PT Astra Serif" w:eastAsia="Tahoma" w:cs="Noto Sans Devanagari"/>
        <w:kern w:val="2"/>
        <w:szCs w:val="24"/>
        <w:lang w:val="ru-RU" w:eastAsia="zh-CN" w:bidi="hi-IN"/>
      </w:rPr>
    </w:rPrDefault>
    <w:pPrDefault>
      <w:pPr>
        <w:suppressAutoHyphens w:val="true"/>
      </w:pPr>
    </w:pPrDefault>
  </w:docDefaults>
  <w:style w:type="paragraph" w:styleId="Normal">
    <w:name w:val="Normal"/>
    <w:qFormat/>
    <w:pPr>
      <w:widowControl w:val="false"/>
      <w:suppressAutoHyphens w:val="true"/>
      <w:bidi w:val="0"/>
    </w:pPr>
    <w:rPr>
      <w:rFonts w:ascii="PT Astra Serif" w:hAnsi="PT Astra Serif" w:eastAsia="Tahoma" w:cs="PT Astra Serif"/>
      <w:color w:val="auto"/>
      <w:kern w:val="2"/>
      <w:sz w:val="24"/>
      <w:szCs w:val="24"/>
      <w:lang w:val="ru-RU" w:eastAsia="zh-CN" w:bidi="hi-IN"/>
    </w:rPr>
  </w:style>
  <w:style w:type="character" w:styleId="Style14">
    <w:name w:val="Интернет-ссылка"/>
    <w:rPr>
      <w:color w:val="000080"/>
      <w:u w:val="single"/>
    </w:rPr>
  </w:style>
  <w:style w:type="paragraph" w:styleId="Style15">
    <w:name w:val="Заголовок"/>
    <w:basedOn w:val="Normal"/>
    <w:next w:val="Style16"/>
    <w:qFormat/>
    <w:pPr>
      <w:keepNext w:val="true"/>
      <w:spacing w:before="240" w:after="120"/>
    </w:pPr>
    <w:rPr>
      <w:sz w:val="28"/>
      <w:szCs w:val="28"/>
    </w:rPr>
  </w:style>
  <w:style w:type="paragraph" w:styleId="Style16">
    <w:name w:val="Body Text"/>
    <w:basedOn w:val="Normal"/>
    <w:pPr>
      <w:spacing w:lineRule="auto" w:line="276" w:before="0" w:after="140"/>
    </w:pPr>
    <w:rPr/>
  </w:style>
  <w:style w:type="paragraph" w:styleId="Style17">
    <w:name w:val="List"/>
    <w:basedOn w:val="Style16"/>
    <w:pPr>
      <w:spacing w:lineRule="auto" w:line="276" w:before="0" w:after="140"/>
    </w:pPr>
    <w:rPr/>
  </w:style>
  <w:style w:type="paragraph" w:styleId="Style18">
    <w:name w:val="Caption"/>
    <w:basedOn w:val="Normal"/>
    <w:qFormat/>
    <w:pPr>
      <w:spacing w:before="120" w:after="120"/>
    </w:pPr>
    <w:rPr>
      <w:i/>
      <w:iCs/>
    </w:rPr>
  </w:style>
  <w:style w:type="paragraph" w:styleId="Style19">
    <w:name w:val="Указатель"/>
    <w:basedOn w:val="Normal"/>
    <w:qFormat/>
    <w:pPr/>
    <w:rPr/>
  </w:style>
  <w:style w:type="paragraph" w:styleId="ConsPlusNormal">
    <w:name w:val="ConsPlusNormal"/>
    <w:qFormat/>
    <w:pPr>
      <w:widowControl w:val="false"/>
      <w:suppressAutoHyphens w:val="true"/>
      <w:bidi w:val="0"/>
    </w:pPr>
    <w:rPr>
      <w:rFonts w:ascii="Times New Roman" w:hAnsi="Times New Roman" w:eastAsia="Arial" w:cs="Times New Roman"/>
      <w:b w:val="false"/>
      <w:i w:val="false"/>
      <w:strike w:val="false"/>
      <w:dstrike w:val="false"/>
      <w:color w:val="auto"/>
      <w:kern w:val="2"/>
      <w:sz w:val="24"/>
      <w:szCs w:val="24"/>
      <w:u w:val="none"/>
      <w:lang w:val="ru-RU" w:eastAsia="zh-CN" w:bidi="hi-IN"/>
    </w:rPr>
  </w:style>
  <w:style w:type="paragraph" w:styleId="ConsPlusNonformat">
    <w:name w:val="ConsPlusNonformat"/>
    <w:qFormat/>
    <w:pPr>
      <w:widowControl w:val="false"/>
      <w:suppressAutoHyphens w:val="true"/>
      <w:bidi w:val="0"/>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Title">
    <w:name w:val="ConsPlusTitle"/>
    <w:qFormat/>
    <w:pPr>
      <w:widowControl w:val="false"/>
      <w:suppressAutoHyphens w:val="true"/>
      <w:bidi w:val="0"/>
    </w:pPr>
    <w:rPr>
      <w:rFonts w:ascii="Arial" w:hAnsi="Arial" w:eastAsia="Arial" w:cs="Arial"/>
      <w:b/>
      <w:i w:val="false"/>
      <w:strike w:val="false"/>
      <w:dstrike w:val="false"/>
      <w:color w:val="auto"/>
      <w:kern w:val="2"/>
      <w:sz w:val="24"/>
      <w:szCs w:val="24"/>
      <w:u w:val="none"/>
      <w:lang w:val="ru-RU" w:eastAsia="zh-CN" w:bidi="hi-IN"/>
    </w:rPr>
  </w:style>
  <w:style w:type="paragraph" w:styleId="ConsPlusCell">
    <w:name w:val="ConsPlusCell"/>
    <w:qFormat/>
    <w:pPr>
      <w:widowControl w:val="false"/>
      <w:suppressAutoHyphens w:val="true"/>
      <w:bidi w:val="0"/>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DocList">
    <w:name w:val="ConsPlusDocList"/>
    <w:qFormat/>
    <w:pPr>
      <w:widowControl w:val="false"/>
      <w:suppressAutoHyphens w:val="true"/>
      <w:bidi w:val="0"/>
    </w:pPr>
    <w:rPr>
      <w:rFonts w:ascii="Tahoma" w:hAnsi="Tahoma" w:eastAsia="Arial" w:cs="Tahoma"/>
      <w:b w:val="false"/>
      <w:i w:val="false"/>
      <w:strike w:val="false"/>
      <w:dstrike w:val="false"/>
      <w:color w:val="auto"/>
      <w:kern w:val="2"/>
      <w:sz w:val="18"/>
      <w:szCs w:val="24"/>
      <w:u w:val="none"/>
      <w:lang w:val="ru-RU" w:eastAsia="zh-CN" w:bidi="hi-IN"/>
    </w:rPr>
  </w:style>
  <w:style w:type="paragraph" w:styleId="ConsPlusTitlePage">
    <w:name w:val="ConsPlusTitlePage"/>
    <w:qFormat/>
    <w:pPr>
      <w:widowControl w:val="false"/>
      <w:suppressAutoHyphens w:val="true"/>
      <w:bidi w:val="0"/>
    </w:pPr>
    <w:rPr>
      <w:rFonts w:ascii="Tahoma" w:hAnsi="Tahoma" w:eastAsia="Arial" w:cs="Tahoma"/>
      <w:b w:val="false"/>
      <w:i w:val="false"/>
      <w:strike w:val="false"/>
      <w:dstrike w:val="false"/>
      <w:color w:val="auto"/>
      <w:kern w:val="2"/>
      <w:sz w:val="24"/>
      <w:szCs w:val="24"/>
      <w:u w:val="none"/>
      <w:lang w:val="ru-RU" w:eastAsia="zh-CN" w:bidi="hi-IN"/>
    </w:rPr>
  </w:style>
  <w:style w:type="paragraph" w:styleId="ConsPlusJurTerm">
    <w:name w:val="ConsPlusJurTerm"/>
    <w:qFormat/>
    <w:pPr>
      <w:widowControl w:val="false"/>
      <w:suppressAutoHyphens w:val="true"/>
      <w:bidi w:val="0"/>
    </w:pPr>
    <w:rPr>
      <w:rFonts w:ascii="Tahoma" w:hAnsi="Tahoma" w:eastAsia="Arial" w:cs="Tahoma"/>
      <w:b w:val="false"/>
      <w:i w:val="false"/>
      <w:strike w:val="false"/>
      <w:dstrike w:val="false"/>
      <w:color w:val="auto"/>
      <w:kern w:val="2"/>
      <w:sz w:val="26"/>
      <w:szCs w:val="24"/>
      <w:u w:val="none"/>
      <w:lang w:val="ru-RU" w:eastAsia="zh-CN" w:bidi="hi-IN"/>
    </w:rPr>
  </w:style>
  <w:style w:type="paragraph" w:styleId="ConsPlusTextList">
    <w:name w:val="ConsPlusTextList"/>
    <w:qFormat/>
    <w:pPr>
      <w:widowControl w:val="false"/>
      <w:suppressAutoHyphens w:val="true"/>
      <w:bidi w:val="0"/>
    </w:pPr>
    <w:rPr>
      <w:rFonts w:ascii="Times New Roman" w:hAnsi="Times New Roman" w:eastAsia="Arial" w:cs="Times New Roman"/>
      <w:b w:val="false"/>
      <w:i w:val="false"/>
      <w:strike w:val="false"/>
      <w:dstrike w:val="false"/>
      <w:color w:val="auto"/>
      <w:kern w:val="2"/>
      <w:sz w:val="24"/>
      <w:szCs w:val="24"/>
      <w:u w:val="none"/>
      <w:lang w:val="ru-RU" w:eastAsia="zh-CN" w:bidi="hi-IN"/>
    </w:rPr>
  </w:style>
  <w:style w:type="paragraph" w:styleId="Style20">
    <w:name w:val="Колонтитул"/>
    <w:basedOn w:val="Normal"/>
    <w:qFormat/>
    <w:pPr/>
    <w:rPr/>
  </w:style>
  <w:style w:type="paragraph" w:styleId="Style21">
    <w:name w:val="Верхний и нижний колонтитулы"/>
    <w:basedOn w:val="Normal"/>
    <w:qFormat/>
    <w:pPr/>
    <w:rPr/>
  </w:style>
  <w:style w:type="paragraph" w:styleId="Style22">
    <w:name w:val="Header"/>
    <w:basedOn w:val="Style20"/>
    <w:pPr/>
    <w:rPr/>
  </w:style>
  <w:style w:type="paragraph" w:styleId="Style23">
    <w:name w:val="Footer"/>
    <w:basedOn w:val="Style2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LibreOffice/6.4.7.2$Linux_X86_64 LibreOffice_project/155c490457025f32143219b3c36f6c1abf1f2442</Application>
  <Pages>13</Pages>
  <Words>3045</Words>
  <Characters>21288</Characters>
  <CharactersWithSpaces>24010</CharactersWithSpaces>
  <Paragraphs>327</Paragraphs>
  <Company>КонсультантПлюс Версия 4023.00.50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2025-07-02T11:44:00Z</dcterms:created>
  <dc:creator/>
  <dc:description/>
  <dc:language>ru-RU</dc:language>
  <cp:lastModifiedBy/>
  <dcterms:modified xsi:type="dcterms:W3CDTF">2025-07-02T11:45:00Z</dcterms:modified>
  <cp:revision>0</cp:revision>
  <dc:subject/>
  <dc:title>Постановление Правительства РФ от 30.12.1999 N 1436(ред. от 23.09.2024)"О специальных средствах и огнестрельном оружии, используемых ведомственной охраной"</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
    <vt:lpwstr>КонсультантПлюс Версия 4023.00.50</vt:lpwstr>
  </property>
</Properties>
</file>