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208" w:type="dxa"/>
        <w:jc w:val="left"/>
        <w:tblInd w:w="80" w:type="dxa"/>
        <w:tblCellMar>
          <w:top w:w="60" w:type="dxa"/>
          <w:left w:w="80" w:type="dxa"/>
          <w:bottom w:w="60" w:type="dxa"/>
          <w:right w:w="80" w:type="dxa"/>
        </w:tblCellMar>
      </w:tblPr>
      <w:tblGrid>
        <w:gridCol w:w="10208"/>
      </w:tblGrid>
      <w:tr>
        <w:trPr>
          <w:trHeight w:val="2791" w:hRule="exact"/>
        </w:trPr>
        <w:tc>
          <w:tcPr>
            <w:tcW w:w="10208" w:type="dxa"/>
            <w:tcBorders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drawing>
                <wp:inline distT="0" distB="0" distL="0" distR="0">
                  <wp:extent cx="3810000" cy="904875"/>
                  <wp:effectExtent l="0" t="0" r="0" b="0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7676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sz w:val="48"/>
              </w:rPr>
              <w:t>Приказ Минздрава России от 30.05.2023 N 266н</w:t>
            </w:r>
            <w:r>
              <w:rPr/>
              <w:br/>
            </w:r>
            <w:r>
              <w:rPr>
                <w:sz w:val="48"/>
              </w:rPr>
              <w:t>"Об утверждении Порядка и периодичности проведения предсменных, предрейсовых, послесменных, послерейсовых медицинских осмотров, медицинских осмотров в течение рабочего дня (смены) и перечня включаемых в них исследований"</w:t>
            </w:r>
            <w:r>
              <w:rPr/>
              <w:br/>
            </w:r>
            <w:r>
              <w:rPr>
                <w:sz w:val="48"/>
              </w:rPr>
              <w:t>(Зарегистрировано в Минюсте России 30.05.2023 N 73621)</w:t>
            </w:r>
          </w:p>
        </w:tc>
      </w:tr>
      <w:tr>
        <w:trPr>
          <w:trHeight w:val="2791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sectPr>
          <w:type w:val="nextPage"/>
          <w:pgSz w:w="11906" w:h="16838"/>
          <w:pgMar w:left="1133" w:right="566" w:header="0" w:top="1440" w:footer="0" w:bottom="1440" w:gutter="0"/>
          <w:pgNumType w:fmt="decimal"/>
          <w:formProt w:val="false"/>
          <w:textDirection w:val="lrTb"/>
          <w:docGrid w:type="default" w:linePitch="312" w:charSpace="4294961151"/>
        </w:sectPr>
      </w:pPr>
    </w:p>
    <w:p>
      <w:pPr>
        <w:pStyle w:val="Normal"/>
        <w:rPr/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133" w:right="566" w:header="0" w:top="1440" w:footer="0" w:bottom="1440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nsPlusNormal"/>
      <w:widowControl w:val="false"/>
      <w:suppressAutoHyphens w:val="true"/>
      <w:bidi w:val="0"/>
      <w:rPr>
        <w:rFonts w:ascii="Times New Roman" w:hAnsi="Times New Roman" w:eastAsia="Arial" w:cs="Times New Roman"/>
        <w:b w:val="false"/>
        <w:b w:val="false"/>
        <w:i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pP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r>
  </w:p>
  <w:p>
    <w:pPr>
      <w:pStyle w:val="ConsPlusNormal"/>
      <w:widowControl w:val="false"/>
      <w:suppressAutoHyphens w:val="true"/>
      <w:bidi w:val="0"/>
      <w:rPr/>
    </w:pPr>
    <w:r>
      <w:rPr>
        <w:rFonts w:eastAsia="Arial" w:cs="Tahoma" w:ascii="Tahoma" w:hAnsi="Tahoma"/>
        <w:b/>
        <w:i w:val="false"/>
        <w:strike w:val="false"/>
        <w:dstrike w:val="false"/>
        <w:color w:val="F58220"/>
        <w:kern w:val="2"/>
        <w:sz w:val="28"/>
        <w:szCs w:val="24"/>
        <w:u w:val="none"/>
        <w:lang w:val="ru-RU" w:eastAsia="zh-CN" w:bidi="hi-IN"/>
      </w:rPr>
      <w:t>КонсультантПлюс</w:t>
    </w:r>
    <w:r>
      <w:rPr/>
      <w:br/>
    </w:r>
    <w:r>
      <w:rPr>
        <w:rFonts w:eastAsia="Arial" w:cs="Tahoma" w:ascii="Tahoma" w:hAnsi="Tahoma"/>
        <w:b/>
        <w:i w:val="false"/>
        <w:strike w:val="false"/>
        <w:dstrike w:val="false"/>
        <w:color w:val="auto"/>
        <w:kern w:val="2"/>
        <w:sz w:val="16"/>
        <w:szCs w:val="24"/>
        <w:u w:val="none"/>
        <w:lang w:val="ru-RU" w:eastAsia="zh-CN" w:bidi="hi-IN"/>
      </w:rPr>
      <w:t>надежная правовая поддержка</w:t>
    </w:r>
    <w:hyperlink r:id="rId1">
      <w:r>
        <w:rPr>
          <w:rFonts w:eastAsia="Arial" w:cs="Tahoma" w:ascii="Tahoma" w:hAnsi="Tahoma"/>
          <w:b/>
          <w:i w:val="false"/>
          <w:strike w:val="false"/>
          <w:dstrike w:val="false"/>
          <w:color w:val="0000FF"/>
          <w:kern w:val="2"/>
          <w:sz w:val="20"/>
          <w:szCs w:val="24"/>
          <w:u w:val="none"/>
          <w:lang w:val="ru-RU" w:eastAsia="zh-CN" w:bidi="hi-IN"/>
        </w:rPr>
        <w:t>www.consultant.ru</w:t>
      </w:r>
    </w:hyperlink>
    <w:r>
      <w:rPr>
        <w:rFonts w:eastAsia="Arial" w:cs="Tahoma" w:ascii="Tahoma" w:hAnsi="Tahoma"/>
        <w:b w:val="false"/>
        <w:i w:val="false"/>
        <w:strike w:val="false"/>
        <w:dstrike w:val="false"/>
        <w:color w:val="auto"/>
        <w:kern w:val="2"/>
        <w:sz w:val="20"/>
        <w:szCs w:val="24"/>
        <w:u w:val="none"/>
        <w:lang w:val="ru-RU" w:eastAsia="zh-CN" w:bidi="hi-IN"/>
      </w:rPr>
      <w:t xml:space="preserve">Страница </w:t>
    </w: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24"/>
        <w:szCs w:val="24"/>
        <w:u w:val="none"/>
        <w:lang w:val="ru-RU" w:eastAsia="zh-CN" w:bidi="hi-IN"/>
      </w:rPr>
      <w:fldChar w:fldCharType="begin"/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instrText> PAGE </w:instrText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fldChar w:fldCharType="separate"/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t>2</w:t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fldChar w:fldCharType="end"/>
    </w:r>
    <w:r>
      <w:rPr>
        <w:rFonts w:eastAsia="Arial" w:cs="Tahoma" w:ascii="Tahoma" w:hAnsi="Tahoma"/>
        <w:b w:val="false"/>
        <w:i w:val="false"/>
        <w:strike w:val="false"/>
        <w:dstrike w:val="false"/>
        <w:color w:val="auto"/>
        <w:kern w:val="2"/>
        <w:sz w:val="20"/>
        <w:szCs w:val="24"/>
        <w:u w:val="none"/>
        <w:lang w:val="ru-RU" w:eastAsia="zh-CN" w:bidi="hi-IN"/>
      </w:rPr>
      <w:t xml:space="preserve"> из </w:t>
    </w: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24"/>
        <w:szCs w:val="24"/>
        <w:u w:val="none"/>
        <w:lang w:val="ru-RU" w:eastAsia="zh-CN" w:bidi="hi-IN"/>
      </w:rPr>
      <w:fldChar w:fldCharType="begin"/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instrText> NUMPAGES </w:instrText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fldChar w:fldCharType="separate"/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t>2</w:t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fldChar w:fldCharType="end"/>
    </w:r>
  </w:p>
  <w:p>
    <w:pPr>
      <w:pStyle w:val="ConsPlusNormal"/>
      <w:widowControl w:val="false"/>
      <w:suppressAutoHyphens w:val="true"/>
      <w:bidi w:val="0"/>
      <w:rPr>
        <w:rFonts w:ascii="Times New Roman" w:hAnsi="Times New Roman" w:eastAsia="Arial" w:cs="Times New Roman"/>
        <w:b w:val="false"/>
        <w:b w:val="false"/>
        <w:i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pP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nsPlusNormal"/>
      <w:widowControl w:val="false"/>
      <w:suppressAutoHyphens w:val="true"/>
      <w:bidi w:val="0"/>
      <w:rPr/>
    </w:pPr>
    <w:r>
      <w:rPr>
        <w:rFonts w:eastAsia="Arial" w:cs="Tahoma" w:ascii="Tahoma" w:hAnsi="Tahoma"/>
        <w:b w:val="false"/>
        <w:i w:val="false"/>
        <w:strike w:val="false"/>
        <w:dstrike w:val="false"/>
        <w:color w:val="auto"/>
        <w:kern w:val="2"/>
        <w:sz w:val="16"/>
        <w:szCs w:val="24"/>
        <w:u w:val="none"/>
        <w:lang w:val="ru-RU" w:eastAsia="zh-CN" w:bidi="hi-IN"/>
      </w:rPr>
      <w:t>Приказ Минздрава России от 30.05.2023 N 266н</w:t>
    </w:r>
    <w:r>
      <w:rPr/>
      <w:br/>
    </w:r>
    <w:r>
      <w:rPr>
        <w:rFonts w:eastAsia="Arial" w:cs="Tahoma" w:ascii="Tahoma" w:hAnsi="Tahoma"/>
        <w:b w:val="false"/>
        <w:i w:val="false"/>
        <w:strike w:val="false"/>
        <w:dstrike w:val="false"/>
        <w:color w:val="auto"/>
        <w:kern w:val="2"/>
        <w:sz w:val="16"/>
        <w:szCs w:val="24"/>
        <w:u w:val="none"/>
        <w:lang w:val="ru-RU" w:eastAsia="zh-CN" w:bidi="hi-IN"/>
      </w:rPr>
      <w:t>"Об утверждении Порядка и периодичности проведения предсменных, предрейсовы...</w:t>
    </w:r>
    <w:r>
      <w:rPr>
        <w:rFonts w:eastAsia="Arial" w:cs="Tahoma" w:ascii="Tahoma" w:hAnsi="Tahoma"/>
        <w:b w:val="false"/>
        <w:i w:val="false"/>
        <w:strike w:val="false"/>
        <w:dstrike w:val="false"/>
        <w:color w:val="auto"/>
        <w:kern w:val="2"/>
        <w:sz w:val="18"/>
        <w:szCs w:val="24"/>
        <w:u w:val="none"/>
        <w:lang w:val="ru-RU" w:eastAsia="zh-CN" w:bidi="hi-IN"/>
      </w:rPr>
      <w:t xml:space="preserve">Документ предоставлен </w:t>
    </w:r>
    <w:hyperlink r:id="rId1">
      <w:r>
        <w:rPr>
          <w:rFonts w:eastAsia="Arial" w:cs="Tahoma" w:ascii="Tahoma" w:hAnsi="Tahoma"/>
          <w:b w:val="false"/>
          <w:i w:val="false"/>
          <w:strike w:val="false"/>
          <w:dstrike w:val="false"/>
          <w:color w:val="0000FF"/>
          <w:kern w:val="2"/>
          <w:sz w:val="18"/>
          <w:szCs w:val="24"/>
          <w:u w:val="none"/>
          <w:lang w:val="ru-RU" w:eastAsia="zh-CN" w:bidi="hi-IN"/>
        </w:rPr>
        <w:t>КонсультантПлюс</w:t>
      </w:r>
    </w:hyperlink>
    <w:r>
      <w:rPr/>
      <w:br/>
    </w:r>
  </w:p>
  <w:p>
    <w:pPr>
      <w:pStyle w:val="ConsPlusNormal"/>
      <w:widowControl w:val="false"/>
      <w:suppressAutoHyphens w:val="true"/>
      <w:bidi w:val="0"/>
      <w:rPr>
        <w:rFonts w:ascii="Times New Roman" w:hAnsi="Times New Roman" w:eastAsia="Arial" w:cs="Times New Roman"/>
        <w:b w:val="false"/>
        <w:b w:val="false"/>
        <w:i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pP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r>
  </w:p>
  <w:p>
    <w:pPr>
      <w:pStyle w:val="ConsPlusNormal"/>
      <w:widowControl w:val="false"/>
      <w:suppressAutoHyphens w:val="true"/>
      <w:bidi w:val="0"/>
      <w:rPr>
        <w:lang w:val="ru-RU"/>
      </w:rPr>
    </w:pP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10"/>
        <w:szCs w:val="24"/>
        <w:u w:val="none"/>
        <w:lang w:val="ru-RU" w:eastAsia="zh-CN" w:bidi="hi-IN"/>
      </w:rPr>
      <w:t xml:space="preserve"> 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PT Astra Serif" w:hAnsi="PT Astra Serif" w:eastAsia="Tahoma" w:cs="PT Astra Serif"/>
      <w:color w:val="auto"/>
      <w:kern w:val="2"/>
      <w:sz w:val="24"/>
      <w:szCs w:val="24"/>
      <w:lang w:val="ru-RU" w:eastAsia="zh-CN" w:bidi="hi-IN"/>
    </w:rPr>
  </w:style>
  <w:style w:type="character" w:styleId="Style14">
    <w:name w:val="Интернет-ссылка"/>
    <w:rPr>
      <w:color w:val="000080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>
      <w:spacing w:lineRule="auto" w:line="276" w:before="0" w:after="140"/>
    </w:pPr>
    <w:rPr/>
  </w:style>
  <w:style w:type="paragraph" w:styleId="Style18">
    <w:name w:val="Caption"/>
    <w:basedOn w:val="Normal"/>
    <w:qFormat/>
    <w:pPr>
      <w:spacing w:before="120" w:after="120"/>
    </w:pPr>
    <w:rPr>
      <w:i/>
      <w:iCs/>
    </w:rPr>
  </w:style>
  <w:style w:type="paragraph" w:styleId="Style19">
    <w:name w:val="Указатель"/>
    <w:basedOn w:val="Normal"/>
    <w:qFormat/>
    <w:pPr/>
    <w:rPr/>
  </w:style>
  <w:style w:type="paragraph" w:styleId="ConsPlusNormal">
    <w:name w:val="ConsPlusNormal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Nonformat">
    <w:name w:val="ConsPlusNonformat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">
    <w:name w:val="ConsPlusTitle"/>
    <w:qFormat/>
    <w:pPr>
      <w:widowControl w:val="false"/>
      <w:suppressAutoHyphens w:val="true"/>
      <w:bidi w:val="0"/>
    </w:pPr>
    <w:rPr>
      <w:rFonts w:ascii="Arial" w:hAnsi="Arial" w:eastAsia="Arial" w:cs="Arial"/>
      <w:b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Cell">
    <w:name w:val="ConsPlusCell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DocList">
    <w:name w:val="ConsPlusDocList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18"/>
      <w:szCs w:val="24"/>
      <w:u w:val="none"/>
      <w:lang w:val="ru-RU" w:eastAsia="zh-CN" w:bidi="hi-IN"/>
    </w:rPr>
  </w:style>
  <w:style w:type="paragraph" w:styleId="ConsPlusTitlePage">
    <w:name w:val="ConsPlusTitlePage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JurTerm">
    <w:name w:val="ConsPlusJurTerm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6"/>
      <w:szCs w:val="24"/>
      <w:u w:val="none"/>
      <w:lang w:val="ru-RU" w:eastAsia="zh-CN" w:bidi="hi-IN"/>
    </w:rPr>
  </w:style>
  <w:style w:type="paragraph" w:styleId="ConsPlusTextList">
    <w:name w:val="ConsPlusTextList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Style20">
    <w:name w:val="Колонтитул"/>
    <w:basedOn w:val="Normal"/>
    <w:qFormat/>
    <w:pPr/>
    <w:rPr/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Header"/>
    <w:basedOn w:val="Style20"/>
    <w:pPr/>
    <w:rPr/>
  </w:style>
  <w:style w:type="paragraph" w:styleId="Style23">
    <w:name w:val="Footer"/>
    <w:basedOn w:val="Style20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s://www.consultant.ru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hyperlink" Target="https://www.consultant.ru/" TargetMode="Externa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LibreOffice/6.4.7.2$Linux_X86_64 LibreOffice_project/155c490457025f32143219b3c36f6c1abf1f2442</Application>
  <Pages>2</Pages>
  <Words>63</Words>
  <Characters>495</Characters>
  <CharactersWithSpaces>557</CharactersWithSpaces>
  <Paragraphs>5</Paragraphs>
  <Company>КонсультантПлюс Версия 4023.00.50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2025-07-03T10:54:00Z</dcterms:created>
  <dc:creator/>
  <dc:description/>
  <dc:language>ru-RU</dc:language>
  <cp:lastModifiedBy/>
  <dcterms:modified xsi:type="dcterms:W3CDTF">2025-07-03T10:56:00Z</dcterms:modified>
  <cp:revision>0</cp:revision>
  <dc:subject/>
  <dc:title>Приказ Минздрава России от 30.05.2023 N 266н"Об утверждении Порядка и периодичности проведения предсменных, предрейсовых, послесменных, послерейсовых медицинских осмотров, медицинских осмотров в течение рабочего дня (смены) и перечня включаемых в них исследований"(Зарегистрировано в Минюсте России 30.05.2023 N 73621)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4023.00.50</vt:lpwstr>
  </property>
</Properties>
</file>