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Приказ Росгвардии от 16.10.2023 N 378</w:t>
              <w:br/>
              <w:t>"Об утверждении Порядка принятия решения о пресечении функционирования беспилотных воздушных, подводных и надводных судов и аппаратов, беспилотных транспортных средств и иных автоматизированных беспилотных комплексов в целях отражения нападения либо угрозы нападения на объекты, охраняемые военизированными и сторожевыми подразделениями федерального государственного унитарного предприятия "Охрана" Федеральной службы войск национальной гвардии Российской Федерации, работников военизированных и сторожевых подразделений федерального государственного унитарного предприятия "Охрана" Федеральной службы войск национальной гвардии Российской Федерации или лиц, находящихся на этих объектах, а также Перечня должностных лиц федерального государственного унитарного предприятия "Охрана" Федеральной службы войск национальной гвардии Российской Федерации, уполномоченных на принятие такого решения"</w:t>
              <w:br/>
              <w:t>(Зарегистрировано в Минюсте России 17.11.2023 N 75995)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sectPr>
          <w:type w:val="nextPage"/>
          <w:pgSz w:w="11906" w:h="16838"/>
          <w:pgMar w:left="1133" w:right="566" w:header="0" w:top="1440" w:footer="0" w:bottom="1440" w:gutter="0"/>
          <w:pgNumType w:fmt="decimal"/>
          <w:formProt w:val="false"/>
          <w:textDirection w:val="lrTb"/>
          <w:docGrid w:type="default" w:linePitch="312" w:charSpace="4294961151"/>
        </w:sectPr>
      </w:pPr>
    </w:p>
    <w:p>
      <w:pPr>
        <w:pStyle w:val="Normal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  <w:p>
    <w:pPr>
      <w:pStyle w:val="ConsPlusNormal"/>
      <w:widowControl w:val="false"/>
      <w:suppressAutoHyphens w:val="true"/>
      <w:bidi w:val="0"/>
      <w:rPr/>
    </w:pPr>
    <w:r>
      <w:rPr>
        <w:rFonts w:eastAsia="Arial" w:cs="Tahoma" w:ascii="Tahoma" w:hAnsi="Tahoma"/>
        <w:b/>
        <w:i w:val="false"/>
        <w:strike w:val="false"/>
        <w:dstrike w:val="false"/>
        <w:color w:val="F58220"/>
        <w:kern w:val="2"/>
        <w:sz w:val="28"/>
        <w:szCs w:val="24"/>
        <w:u w:val="none"/>
        <w:lang w:val="ru-RU" w:eastAsia="zh-CN" w:bidi="hi-IN"/>
      </w:rPr>
      <w:t>КонсультантПлюс</w:t>
    </w:r>
    <w:r>
      <w:rPr/>
      <w:br/>
    </w:r>
    <w:r>
      <w:rPr>
        <w:rFonts w:eastAsia="Arial" w:cs="Tahoma" w:ascii="Tahoma" w:hAnsi="Tahoma"/>
        <w:b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надежная правовая поддержка</w:t>
    </w:r>
    <w:hyperlink r:id="rId1">
      <w:r>
        <w:rPr>
          <w:rFonts w:eastAsia="Arial" w:cs="Tahoma" w:ascii="Tahoma" w:hAnsi="Tahoma"/>
          <w:b/>
          <w:i w:val="false"/>
          <w:strike w:val="false"/>
          <w:dstrike w:val="false"/>
          <w:color w:val="0000FF"/>
          <w:kern w:val="2"/>
          <w:sz w:val="20"/>
          <w:szCs w:val="24"/>
          <w:u w:val="none"/>
          <w:lang w:val="ru-RU" w:eastAsia="zh-CN" w:bidi="hi-IN"/>
        </w:rPr>
        <w:t>www.consultant.ru</w:t>
      </w:r>
    </w:hyperlink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20"/>
        <w:szCs w:val="24"/>
        <w:u w:val="none"/>
        <w:lang w:val="ru-RU" w:eastAsia="zh-CN" w:bidi="hi-IN"/>
      </w:rPr>
      <w:t xml:space="preserve">Страница </w:t>
    </w: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24"/>
        <w:szCs w:val="24"/>
        <w:u w:val="none"/>
        <w:lang w:val="ru-RU" w:eastAsia="zh-CN" w:bidi="hi-IN"/>
      </w:rPr>
      <w:fldChar w:fldCharType="begin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instrText> PAGE </w:instrTex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separate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t>2</w: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end"/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20"/>
        <w:szCs w:val="24"/>
        <w:u w:val="none"/>
        <w:lang w:val="ru-RU" w:eastAsia="zh-CN" w:bidi="hi-IN"/>
      </w:rPr>
      <w:t xml:space="preserve"> из </w:t>
    </w: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24"/>
        <w:szCs w:val="24"/>
        <w:u w:val="none"/>
        <w:lang w:val="ru-RU" w:eastAsia="zh-CN" w:bidi="hi-IN"/>
      </w:rPr>
      <w:fldChar w:fldCharType="begin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instrText> NUMPAGES </w:instrTex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separate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t>2</w: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end"/>
    </w:r>
  </w:p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widowControl w:val="false"/>
      <w:suppressAutoHyphens w:val="true"/>
      <w:bidi w:val="0"/>
      <w:rPr/>
    </w:pP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Приказ Росгвардии от 16.10.2023 N 378</w:t>
    </w:r>
    <w:r>
      <w:rPr/>
      <w:br/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"Об утверждении Порядка принятия решения о пресечении функционирования беспилотных...</w:t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8"/>
        <w:szCs w:val="24"/>
        <w:u w:val="none"/>
        <w:lang w:val="ru-RU" w:eastAsia="zh-CN" w:bidi="hi-IN"/>
      </w:rPr>
      <w:t xml:space="preserve">Документ предоставлен </w:t>
    </w:r>
    <w:hyperlink r:id="rId1">
      <w:r>
        <w:rPr>
          <w:rFonts w:eastAsia="Arial" w:cs="Tahoma" w:ascii="Tahoma" w:hAnsi="Tahoma"/>
          <w:b w:val="false"/>
          <w:i w:val="false"/>
          <w:strike w:val="false"/>
          <w:dstrike w:val="false"/>
          <w:color w:val="0000FF"/>
          <w:kern w:val="2"/>
          <w:sz w:val="18"/>
          <w:szCs w:val="24"/>
          <w:u w:val="none"/>
          <w:lang w:val="ru-RU" w:eastAsia="zh-CN" w:bidi="hi-IN"/>
        </w:rPr>
        <w:t>КонсультантПлюс</w:t>
      </w:r>
    </w:hyperlink>
    <w:r>
      <w:rPr/>
      <w:br/>
    </w:r>
  </w:p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  <w:p>
    <w:pPr>
      <w:pStyle w:val="ConsPlusNormal"/>
      <w:widowControl w:val="false"/>
      <w:suppressAutoHyphens w:val="true"/>
      <w:bidi w:val="0"/>
      <w:rPr>
        <w:lang w:val="ru-RU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0"/>
        <w:szCs w:val="24"/>
        <w:u w:val="none"/>
        <w:lang w:val="ru-RU" w:eastAsia="zh-CN" w:bidi="hi-IN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2</Pages>
  <Words>132</Words>
  <Characters>1092</Characters>
  <CharactersWithSpaces>1223</CharactersWithSpaces>
  <Paragraphs>5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2025-07-01T12:49:00Z</dcterms:created>
  <dc:creator/>
  <dc:description/>
  <dc:language>ru-RU</dc:language>
  <cp:lastModifiedBy/>
  <dcterms:modified xsi:type="dcterms:W3CDTF">2025-07-02T11:12:00Z</dcterms:modified>
  <cp:revision>0</cp:revision>
  <dc:subject/>
  <dc:title>Приказ Росгвардии от 16.10.2023 N 378"Об утверждении Порядка принятия решения о пресечении функционирования беспилотных воздушных, подводных и надводных судов и аппаратов, беспилотных транспортных средств и иных автоматизированных беспилотных комплексов в целях отражения нападения либо угрозы нападения на объекты, охраняемые военизированными и сторожевыми подразделениями федерального государственного унитарного предприятия "Охрана" Федеральной службы войск национальной гвардии Российской Федерации, работни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